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96950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bookmarkStart w:id="0" w:name="_GoBack"/>
      <w:bookmarkEnd w:id="0"/>
      <w:r>
        <w:rPr>
          <w:rFonts w:hint="eastAsia" w:ascii="方正小标宋简体" w:hAnsi="方正小标宋简体" w:eastAsia="方正小标宋简体" w:cs="方正小标宋简体"/>
          <w:color w:val="000000" w:themeColor="text1"/>
          <w:sz w:val="44"/>
          <w:szCs w:val="44"/>
          <w:highlight w:val="none"/>
          <w:lang w:eastAsia="zh-CN"/>
          <w14:textFill>
            <w14:solidFill>
              <w14:schemeClr w14:val="tx1"/>
            </w14:solidFill>
          </w14:textFill>
        </w:rPr>
        <w:t>少数民族高层次骨干人才</w:t>
      </w: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计划</w:t>
      </w:r>
      <w:r>
        <w:rPr>
          <w:rFonts w:hint="eastAsia" w:ascii="方正小标宋简体" w:hAnsi="方正小标宋简体" w:eastAsia="方正小标宋简体" w:cs="方正小标宋简体"/>
          <w:color w:val="000000" w:themeColor="text1"/>
          <w:sz w:val="44"/>
          <w:szCs w:val="44"/>
          <w:highlight w:val="none"/>
          <w:lang w:eastAsia="zh-CN"/>
          <w14:textFill>
            <w14:solidFill>
              <w14:schemeClr w14:val="tx1"/>
            </w14:solidFill>
          </w14:textFill>
        </w:rPr>
        <w:br w:type="textWrapping"/>
      </w:r>
      <w:r>
        <w:rPr>
          <w:rFonts w:hint="eastAsia" w:ascii="方正小标宋简体" w:hAnsi="方正小标宋简体" w:eastAsia="方正小标宋简体" w:cs="方正小标宋简体"/>
          <w:color w:val="000000" w:themeColor="text1"/>
          <w:sz w:val="44"/>
          <w:szCs w:val="44"/>
          <w:highlight w:val="none"/>
          <w:lang w:eastAsia="zh-CN"/>
          <w14:textFill>
            <w14:solidFill>
              <w14:schemeClr w14:val="tx1"/>
            </w14:solidFill>
          </w14:textFill>
        </w:rPr>
        <w:t>南疆高校教师专项</w:t>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定向</w:t>
      </w:r>
      <w:r>
        <w:rPr>
          <w:rFonts w:hint="eastAsia" w:ascii="方正小标宋简体" w:hAnsi="方正小标宋简体" w:eastAsia="方正小标宋简体" w:cs="方正小标宋简体"/>
          <w:color w:val="000000" w:themeColor="text1"/>
          <w:sz w:val="44"/>
          <w:szCs w:val="44"/>
          <w:highlight w:val="none"/>
          <w:lang w:eastAsia="zh-CN"/>
          <w14:textFill>
            <w14:solidFill>
              <w14:schemeClr w14:val="tx1"/>
            </w14:solidFill>
          </w14:textFill>
        </w:rPr>
        <w:t>就业</w:t>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协议书</w:t>
      </w:r>
    </w:p>
    <w:p w14:paraId="1A0AC81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（非在职考生）</w:t>
      </w:r>
    </w:p>
    <w:p w14:paraId="6ABBFCE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textAlignment w:val="auto"/>
        <w:outlineLvl w:val="9"/>
        <w:rPr>
          <w:rFonts w:hint="default" w:ascii="Times New Roman" w:hAnsi="Times New Roman" w:eastAsia="方正仿宋_GBK" w:cs="Times New Roman"/>
          <w:color w:val="000000" w:themeColor="text1"/>
          <w:sz w:val="32"/>
          <w:szCs w:val="32"/>
          <w:highlight w:val="none"/>
          <w14:textFill>
            <w14:solidFill>
              <w14:schemeClr w14:val="tx1"/>
            </w14:solidFill>
          </w14:textFill>
        </w:rPr>
      </w:pPr>
    </w:p>
    <w:p w14:paraId="5619710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甲方</w:t>
      </w: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color w:val="000000" w:themeColor="text1"/>
          <w:sz w:val="32"/>
          <w:szCs w:val="32"/>
          <w:highlight w:val="none"/>
          <w14:textFill>
            <w14:solidFill>
              <w14:schemeClr w14:val="tx1"/>
            </w14:solidFill>
          </w14:textFill>
        </w:rPr>
        <w:t>招生</w:t>
      </w:r>
      <w:r>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t>培养</w:t>
      </w:r>
      <w:r>
        <w:rPr>
          <w:rFonts w:hint="eastAsia" w:ascii="楷体_GB2312" w:hAnsi="楷体_GB2312" w:eastAsia="楷体_GB2312" w:cs="楷体_GB2312"/>
          <w:color w:val="000000" w:themeColor="text1"/>
          <w:sz w:val="32"/>
          <w:szCs w:val="32"/>
          <w:highlight w:val="none"/>
          <w14:textFill>
            <w14:solidFill>
              <w14:schemeClr w14:val="tx1"/>
            </w14:solidFill>
          </w14:textFill>
        </w:rPr>
        <w:t>单位</w:t>
      </w: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color w:val="000000" w:themeColor="text1"/>
          <w:sz w:val="32"/>
          <w:szCs w:val="32"/>
          <w:highlight w:val="none"/>
          <w14:textFill>
            <w14:solidFill>
              <w14:schemeClr w14:val="tx1"/>
            </w14:solidFill>
          </w14:textFill>
        </w:rPr>
        <w:t>：</w:t>
      </w:r>
    </w:p>
    <w:p w14:paraId="3CCFB96A">
      <w:pPr>
        <w:keepNext w:val="0"/>
        <w:keepLines w:val="0"/>
        <w:pageBreakBefore w:val="0"/>
        <w:widowControl w:val="0"/>
        <w:kinsoku/>
        <w:wordWrap/>
        <w:overflowPunct/>
        <w:topLinePunct w:val="0"/>
        <w:autoSpaceDE/>
        <w:autoSpaceDN/>
        <w:bidi w:val="0"/>
        <w:adjustRightInd/>
        <w:snapToGrid/>
        <w:spacing w:line="600" w:lineRule="exact"/>
        <w:ind w:left="4160" w:leftChars="0" w:right="0" w:rightChars="0" w:hanging="4160" w:hangingChars="1300"/>
        <w:textAlignment w:val="auto"/>
        <w:outlineLvl w:val="9"/>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default" w:ascii="楷体_GB2312" w:hAnsi="楷体_GB2312" w:eastAsia="楷体_GB2312" w:cs="楷体_GB2312"/>
          <w:color w:val="000000" w:themeColor="text1"/>
          <w:sz w:val="32"/>
          <w:szCs w:val="32"/>
          <w:highlight w:val="none"/>
          <w14:textFill>
            <w14:solidFill>
              <w14:schemeClr w14:val="tx1"/>
            </w14:solidFill>
          </w14:textFill>
        </w:rPr>
        <w:t>乙方</w:t>
      </w:r>
      <w:r>
        <w:rPr>
          <w:rFonts w:hint="default" w:ascii="楷体_GB2312" w:hAnsi="楷体_GB2312" w:eastAsia="楷体_GB2312" w:cs="楷体_GB2312"/>
          <w:color w:val="000000" w:themeColor="text1"/>
          <w:sz w:val="32"/>
          <w:szCs w:val="32"/>
          <w:highlight w:val="none"/>
          <w:lang w:eastAsia="zh-CN"/>
          <w14:textFill>
            <w14:solidFill>
              <w14:schemeClr w14:val="tx1"/>
            </w14:solidFill>
          </w14:textFill>
        </w:rPr>
        <w:t>（</w:t>
      </w:r>
      <w:r>
        <w:rPr>
          <w:rFonts w:hint="default" w:ascii="楷体_GB2312" w:hAnsi="楷体_GB2312" w:eastAsia="楷体_GB2312" w:cs="楷体_GB2312"/>
          <w:color w:val="000000" w:themeColor="text1"/>
          <w:sz w:val="32"/>
          <w:szCs w:val="32"/>
          <w:highlight w:val="none"/>
          <w14:textFill>
            <w14:solidFill>
              <w14:schemeClr w14:val="tx1"/>
            </w14:solidFill>
          </w14:textFill>
        </w:rPr>
        <w:t>定向</w:t>
      </w:r>
      <w:r>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t>就业主管部门</w:t>
      </w:r>
      <w:r>
        <w:rPr>
          <w:rFonts w:hint="default" w:ascii="楷体_GB2312" w:hAnsi="楷体_GB2312" w:eastAsia="楷体_GB2312" w:cs="楷体_GB2312"/>
          <w:color w:val="000000" w:themeColor="text1"/>
          <w:sz w:val="32"/>
          <w:szCs w:val="32"/>
          <w:highlight w:val="none"/>
          <w:lang w:eastAsia="zh-CN"/>
          <w14:textFill>
            <w14:solidFill>
              <w14:schemeClr w14:val="tx1"/>
            </w14:solidFill>
          </w14:textFill>
        </w:rPr>
        <w:t>）</w:t>
      </w:r>
      <w:r>
        <w:rPr>
          <w:rFonts w:hint="default" w:ascii="楷体_GB2312" w:hAnsi="楷体_GB2312" w:eastAsia="楷体_GB2312" w:cs="楷体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新疆维吾尔自治区教育厅或新疆生产建设兵团教育局</w:t>
      </w:r>
    </w:p>
    <w:p w14:paraId="02906E8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textAlignment w:val="auto"/>
        <w:outlineLvl w:val="9"/>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default" w:ascii="楷体_GB2312" w:hAnsi="楷体_GB2312" w:eastAsia="楷体_GB2312" w:cs="楷体_GB2312"/>
          <w:color w:val="000000" w:themeColor="text1"/>
          <w:sz w:val="32"/>
          <w:szCs w:val="32"/>
          <w:highlight w:val="none"/>
          <w14:textFill>
            <w14:solidFill>
              <w14:schemeClr w14:val="tx1"/>
            </w14:solidFill>
          </w14:textFill>
        </w:rPr>
        <w:t>丙方</w:t>
      </w:r>
      <w:r>
        <w:rPr>
          <w:rFonts w:hint="default" w:ascii="楷体_GB2312" w:hAnsi="楷体_GB2312" w:eastAsia="楷体_GB2312" w:cs="楷体_GB2312"/>
          <w:color w:val="000000" w:themeColor="text1"/>
          <w:sz w:val="32"/>
          <w:szCs w:val="32"/>
          <w:highlight w:val="none"/>
          <w:lang w:eastAsia="zh-CN"/>
          <w14:textFill>
            <w14:solidFill>
              <w14:schemeClr w14:val="tx1"/>
            </w14:solidFill>
          </w14:textFill>
        </w:rPr>
        <w:t>（</w:t>
      </w:r>
      <w:r>
        <w:rPr>
          <w:rFonts w:hint="default" w:ascii="楷体_GB2312" w:hAnsi="楷体_GB2312" w:eastAsia="楷体_GB2312" w:cs="楷体_GB2312"/>
          <w:color w:val="000000" w:themeColor="text1"/>
          <w:sz w:val="32"/>
          <w:szCs w:val="32"/>
          <w:highlight w:val="none"/>
          <w14:textFill>
            <w14:solidFill>
              <w14:schemeClr w14:val="tx1"/>
            </w14:solidFill>
          </w14:textFill>
        </w:rPr>
        <w:t>定向生本人</w:t>
      </w:r>
      <w:r>
        <w:rPr>
          <w:rFonts w:hint="default" w:ascii="楷体_GB2312" w:hAnsi="楷体_GB2312" w:eastAsia="楷体_GB2312" w:cs="楷体_GB2312"/>
          <w:color w:val="000000" w:themeColor="text1"/>
          <w:sz w:val="32"/>
          <w:szCs w:val="32"/>
          <w:highlight w:val="none"/>
          <w:lang w:eastAsia="zh-CN"/>
          <w14:textFill>
            <w14:solidFill>
              <w14:schemeClr w14:val="tx1"/>
            </w14:solidFill>
          </w14:textFill>
        </w:rPr>
        <w:t>）</w:t>
      </w:r>
      <w:r>
        <w:rPr>
          <w:rFonts w:hint="default" w:ascii="楷体_GB2312" w:hAnsi="楷体_GB2312" w:eastAsia="楷体_GB2312" w:cs="楷体_GB2312"/>
          <w:color w:val="000000" w:themeColor="text1"/>
          <w:sz w:val="32"/>
          <w:szCs w:val="32"/>
          <w:highlight w:val="none"/>
          <w14:textFill>
            <w14:solidFill>
              <w14:schemeClr w14:val="tx1"/>
            </w14:solidFill>
          </w14:textFill>
        </w:rPr>
        <w:t>：</w:t>
      </w:r>
    </w:p>
    <w:p w14:paraId="2CD5670F">
      <w:pPr>
        <w:keepNext w:val="0"/>
        <w:keepLines w:val="0"/>
        <w:pageBreakBefore w:val="0"/>
        <w:kinsoku/>
        <w:wordWrap/>
        <w:overflowPunct/>
        <w:topLinePunct w:val="0"/>
        <w:autoSpaceDE/>
        <w:autoSpaceDN/>
        <w:bidi w:val="0"/>
        <w:adjustRightInd/>
        <w:snapToGrid/>
        <w:spacing w:line="600" w:lineRule="exact"/>
        <w:ind w:firstLine="960" w:firstLineChars="3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身份证号：</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p>
    <w:p w14:paraId="49898B66">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仿宋_GB2312"/>
          <w:color w:val="000000" w:themeColor="text1"/>
          <w:sz w:val="32"/>
          <w:szCs w:val="32"/>
          <w:highlight w:val="none"/>
          <w14:textFill>
            <w14:solidFill>
              <w14:schemeClr w14:val="tx1"/>
            </w14:solidFill>
          </w14:textFill>
        </w:rPr>
      </w:pPr>
    </w:p>
    <w:p w14:paraId="0807D31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textAlignment w:val="auto"/>
        <w:outlineLvl w:val="9"/>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仿宋_GB2312"/>
          <w:color w:val="000000" w:themeColor="text1"/>
          <w:sz w:val="32"/>
          <w:szCs w:val="32"/>
          <w:highlight w:val="none"/>
          <w:lang w:eastAsia="zh-CN"/>
          <w14:textFill>
            <w14:solidFill>
              <w14:schemeClr w14:val="tx1"/>
            </w14:solidFill>
          </w14:textFill>
        </w:rPr>
        <w:t>少数民族高层次骨干人才</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计划</w:t>
      </w:r>
      <w:r>
        <w:rPr>
          <w:rFonts w:hint="default" w:ascii="Times New Roman" w:hAnsi="Times New Roman" w:eastAsia="仿宋_GB2312" w:cs="仿宋_GB2312"/>
          <w:color w:val="000000" w:themeColor="text1"/>
          <w:sz w:val="32"/>
          <w:szCs w:val="32"/>
          <w:highlight w:val="none"/>
          <w:lang w:eastAsia="zh-CN"/>
          <w14:textFill>
            <w14:solidFill>
              <w14:schemeClr w14:val="tx1"/>
            </w14:solidFill>
          </w14:textFill>
        </w:rPr>
        <w:t>南疆高校教师专项</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以下简称南疆高校教师专项）</w:t>
      </w:r>
      <w:r>
        <w:rPr>
          <w:rFonts w:hint="eastAsia" w:ascii="Times New Roman" w:hAnsi="Times New Roman" w:eastAsia="仿宋_GB2312" w:cs="仿宋_GB2312"/>
          <w:color w:val="000000" w:themeColor="text1"/>
          <w:sz w:val="32"/>
          <w:szCs w:val="32"/>
          <w:highlight w:val="none"/>
          <w14:textFill>
            <w14:solidFill>
              <w14:schemeClr w14:val="tx1"/>
            </w14:solidFill>
          </w14:textFill>
        </w:rPr>
        <w:t>，旨在</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为新疆维吾尔自治区南疆地区（包括阿克苏地区、喀什地区、和田地区、巴音郭楞蒙古自治州、克孜勒苏柯尔克孜自治州 ；兵团第一师、第二师、第三师、第十四师、兵地融合发展草湖项目区）高校</w:t>
      </w:r>
      <w:r>
        <w:rPr>
          <w:rFonts w:hint="eastAsia" w:ascii="Times New Roman" w:hAnsi="Times New Roman" w:eastAsia="仿宋_GB2312" w:cs="仿宋_GB2312"/>
          <w:color w:val="000000" w:themeColor="text1"/>
          <w:sz w:val="32"/>
          <w:szCs w:val="32"/>
          <w:highlight w:val="none"/>
          <w14:textFill>
            <w14:solidFill>
              <w14:schemeClr w14:val="tx1"/>
            </w14:solidFill>
          </w14:textFill>
        </w:rPr>
        <w:t>培养优秀</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师资</w:t>
      </w:r>
      <w:r>
        <w:rPr>
          <w:rFonts w:hint="eastAsia" w:ascii="Times New Roman" w:hAnsi="Times New Roman" w:eastAsia="仿宋_GB2312" w:cs="仿宋_GB2312"/>
          <w:color w:val="000000" w:themeColor="text1"/>
          <w:sz w:val="32"/>
          <w:szCs w:val="32"/>
          <w:highlight w:val="none"/>
          <w14:textFill>
            <w14:solidFill>
              <w14:schemeClr w14:val="tx1"/>
            </w14:solidFill>
          </w14:textFill>
        </w:rPr>
        <w:t>，鼓励优秀人才</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在南疆地区高校</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从教。根据相关法律法规</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及</w:t>
      </w:r>
      <w:r>
        <w:rPr>
          <w:rFonts w:hint="default" w:ascii="Times New Roman" w:hAnsi="Times New Roman" w:eastAsia="仿宋_GB2312" w:cs="仿宋_GB2312"/>
          <w:color w:val="000000" w:themeColor="text1"/>
          <w:sz w:val="32"/>
          <w:szCs w:val="32"/>
          <w:highlight w:val="none"/>
          <w:lang w:eastAsia="zh-CN"/>
          <w14:textFill>
            <w14:solidFill>
              <w14:schemeClr w14:val="tx1"/>
            </w14:solidFill>
          </w14:textFill>
        </w:rPr>
        <w:t>少数民族高层次骨干人才</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研究生招生计划实施政策</w:t>
      </w:r>
      <w:r>
        <w:rPr>
          <w:rFonts w:hint="eastAsia" w:ascii="Times New Roman" w:hAnsi="Times New Roman" w:eastAsia="仿宋_GB2312" w:cs="仿宋_GB2312"/>
          <w:color w:val="000000" w:themeColor="text1"/>
          <w:sz w:val="32"/>
          <w:szCs w:val="32"/>
          <w:highlight w:val="none"/>
          <w14:textFill>
            <w14:solidFill>
              <w14:schemeClr w14:val="tx1"/>
            </w14:solidFill>
          </w14:textFill>
        </w:rPr>
        <w:t>，</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制订本协议，</w:t>
      </w:r>
      <w:r>
        <w:rPr>
          <w:rFonts w:hint="eastAsia" w:ascii="Times New Roman" w:hAnsi="Times New Roman" w:eastAsia="仿宋_GB2312" w:cs="仿宋_GB2312"/>
          <w:color w:val="000000" w:themeColor="text1"/>
          <w:sz w:val="32"/>
          <w:szCs w:val="32"/>
          <w:highlight w:val="none"/>
          <w14:textFill>
            <w14:solidFill>
              <w14:schemeClr w14:val="tx1"/>
            </w14:solidFill>
          </w14:textFill>
        </w:rPr>
        <w:t>甲、乙、丙三方共同遵守</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w:t>
      </w:r>
    </w:p>
    <w:p w14:paraId="00564A31">
      <w:pPr>
        <w:keepNext w:val="0"/>
        <w:keepLines w:val="0"/>
        <w:pageBreakBefore w:val="0"/>
        <w:widowControl/>
        <w:numPr>
          <w:ilvl w:val="-1"/>
          <w:numId w:val="0"/>
        </w:numPr>
        <w:kinsoku/>
        <w:wordWrap/>
        <w:overflowPunct/>
        <w:topLinePunct w:val="0"/>
        <w:autoSpaceDE/>
        <w:autoSpaceDN/>
        <w:bidi w:val="0"/>
        <w:adjustRightInd/>
        <w:snapToGrid/>
        <w:spacing w:line="600" w:lineRule="exact"/>
        <w:ind w:right="0" w:rightChars="0" w:firstLine="640" w:firstLineChars="200"/>
        <w:textAlignment w:val="auto"/>
        <w:outlineLvl w:val="9"/>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一、协议签订前提</w:t>
      </w:r>
    </w:p>
    <w:p w14:paraId="4F2B836B">
      <w:pPr>
        <w:keepNext w:val="0"/>
        <w:keepLines w:val="0"/>
        <w:pageBreakBefore w:val="0"/>
        <w:widowControl/>
        <w:numPr>
          <w:ilvl w:val="-1"/>
          <w:numId w:val="0"/>
        </w:numPr>
        <w:kinsoku/>
        <w:wordWrap/>
        <w:overflowPunct/>
        <w:topLinePunct w:val="0"/>
        <w:autoSpaceDE/>
        <w:autoSpaceDN/>
        <w:bidi w:val="0"/>
        <w:adjustRightInd/>
        <w:snapToGrid/>
        <w:spacing w:line="600" w:lineRule="exact"/>
        <w:ind w:right="0" w:rightChars="0" w:firstLine="640" w:firstLineChars="200"/>
        <w:textAlignment w:val="auto"/>
        <w:outlineLvl w:val="9"/>
        <w:rPr>
          <w:rFonts w:hint="eastAsia" w:ascii="Times New Roman" w:hAnsi="Times New Roman" w:eastAsia="方正仿宋_GBK" w:cs="Times New Roman"/>
          <w:color w:val="000000" w:themeColor="text1"/>
          <w:sz w:val="32"/>
          <w:szCs w:val="32"/>
          <w:highlight w:val="none"/>
          <w:u w:val="none"/>
          <w:lang w:val="en-US" w:eastAsia="zh-CN"/>
          <w14:textFill>
            <w14:solidFill>
              <w14:schemeClr w14:val="tx1"/>
            </w14:solidFill>
          </w14:textFill>
        </w:rPr>
      </w:pPr>
      <w:r>
        <w:rPr>
          <w:rFonts w:hint="eastAsia" w:ascii="仿宋_GB2312" w:hAnsi="宋体" w:eastAsia="仿宋_GB2312"/>
          <w:color w:val="000000" w:themeColor="text1"/>
          <w:sz w:val="32"/>
          <w:szCs w:val="32"/>
          <w:highlight w:val="none"/>
          <w:lang w:val="en-US" w:eastAsia="zh-CN"/>
          <w14:textFill>
            <w14:solidFill>
              <w14:schemeClr w14:val="tx1"/>
            </w14:solidFill>
          </w14:textFill>
        </w:rPr>
        <w:t>丙</w:t>
      </w:r>
      <w:r>
        <w:rPr>
          <w:rFonts w:hint="eastAsia" w:ascii="仿宋_GB2312" w:hAnsi="宋体" w:eastAsia="仿宋_GB2312"/>
          <w:color w:val="000000" w:themeColor="text1"/>
          <w:sz w:val="32"/>
          <w:szCs w:val="32"/>
          <w:highlight w:val="none"/>
          <w14:textFill>
            <w14:solidFill>
              <w14:schemeClr w14:val="tx1"/>
            </w14:solidFill>
          </w14:textFill>
        </w:rPr>
        <w:t>方具有</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南疆教师专项报考</w:t>
      </w:r>
      <w:r>
        <w:rPr>
          <w:rFonts w:hint="eastAsia" w:ascii="仿宋_GB2312" w:hAnsi="宋体" w:eastAsia="仿宋_GB2312"/>
          <w:color w:val="000000" w:themeColor="text1"/>
          <w:sz w:val="32"/>
          <w:szCs w:val="32"/>
          <w:highlight w:val="none"/>
          <w14:textFill>
            <w14:solidFill>
              <w14:schemeClr w14:val="tx1"/>
            </w14:solidFill>
          </w14:textFill>
        </w:rPr>
        <w:t>资格，</w:t>
      </w:r>
      <w:r>
        <w:rPr>
          <w:rFonts w:hint="eastAsia" w:ascii="仿宋_GB2312" w:hAnsi="宋体" w:eastAsia="仿宋_GB2312"/>
          <w:color w:val="000000" w:themeColor="text1"/>
          <w:sz w:val="32"/>
          <w:szCs w:val="32"/>
          <w:highlight w:val="none"/>
          <w:lang w:val="en-US" w:eastAsia="zh-CN"/>
          <w14:textFill>
            <w14:solidFill>
              <w14:schemeClr w14:val="tx1"/>
            </w14:solidFill>
          </w14:textFill>
        </w:rPr>
        <w:t>了解相关政策，</w:t>
      </w:r>
      <w:r>
        <w:rPr>
          <w:rFonts w:hint="eastAsia" w:ascii="仿宋_GB2312" w:hAnsi="宋体" w:eastAsia="仿宋_GB2312"/>
          <w:color w:val="000000" w:themeColor="text1"/>
          <w:sz w:val="32"/>
          <w:szCs w:val="32"/>
          <w:highlight w:val="none"/>
          <w14:textFill>
            <w14:solidFill>
              <w14:schemeClr w14:val="tx1"/>
            </w14:solidFill>
          </w14:textFill>
        </w:rPr>
        <w:t>有志于</w:t>
      </w:r>
      <w:r>
        <w:rPr>
          <w:rFonts w:hint="eastAsia" w:ascii="仿宋_GB2312" w:hAnsi="宋体" w:eastAsia="仿宋_GB2312"/>
          <w:color w:val="000000" w:themeColor="text1"/>
          <w:sz w:val="32"/>
          <w:szCs w:val="32"/>
          <w:highlight w:val="none"/>
          <w:lang w:val="en-US" w:eastAsia="zh-CN"/>
          <w14:textFill>
            <w14:solidFill>
              <w14:schemeClr w14:val="tx1"/>
            </w14:solidFill>
          </w14:textFill>
        </w:rPr>
        <w:t>在南疆地区高校</w:t>
      </w:r>
      <w:r>
        <w:rPr>
          <w:rFonts w:hint="eastAsia" w:ascii="仿宋_GB2312" w:hAnsi="宋体" w:eastAsia="仿宋_GB2312"/>
          <w:color w:val="000000" w:themeColor="text1"/>
          <w:sz w:val="32"/>
          <w:szCs w:val="32"/>
          <w:highlight w:val="none"/>
          <w14:textFill>
            <w14:solidFill>
              <w14:schemeClr w14:val="tx1"/>
            </w14:solidFill>
          </w14:textFill>
        </w:rPr>
        <w:t>从教，自愿报考</w:t>
      </w:r>
      <w:r>
        <w:rPr>
          <w:rFonts w:hint="eastAsia" w:ascii="仿宋_GB2312" w:hAnsi="宋体" w:eastAsia="仿宋_GB2312"/>
          <w:color w:val="000000" w:themeColor="text1"/>
          <w:sz w:val="32"/>
          <w:szCs w:val="32"/>
          <w:highlight w:val="none"/>
          <w:lang w:val="en-US" w:eastAsia="zh-CN"/>
          <w14:textFill>
            <w14:solidFill>
              <w14:schemeClr w14:val="tx1"/>
            </w14:solidFill>
          </w14:textFill>
        </w:rPr>
        <w:t>南疆教师专项</w:t>
      </w:r>
      <w:r>
        <w:rPr>
          <w:rFonts w:hint="eastAsia" w:ascii="仿宋_GB2312" w:hAnsi="宋体" w:eastAsia="仿宋_GB2312"/>
          <w:color w:val="000000" w:themeColor="text1"/>
          <w:sz w:val="32"/>
          <w:szCs w:val="32"/>
          <w:highlight w:val="none"/>
          <w:lang w:eastAsia="zh-CN"/>
          <w14:textFill>
            <w14:solidFill>
              <w14:schemeClr w14:val="tx1"/>
            </w14:solidFill>
          </w14:textFill>
        </w:rPr>
        <w:t>。</w:t>
      </w:r>
      <w:r>
        <w:rPr>
          <w:rFonts w:hint="eastAsia" w:ascii="仿宋_GB2312" w:hAnsi="宋体" w:eastAsia="仿宋_GB2312"/>
          <w:color w:val="000000" w:themeColor="text1"/>
          <w:sz w:val="32"/>
          <w:szCs w:val="32"/>
          <w:highlight w:val="none"/>
          <w:lang w:val="en-US" w:eastAsia="zh-CN"/>
          <w14:textFill>
            <w14:solidFill>
              <w14:schemeClr w14:val="tx1"/>
            </w14:solidFill>
          </w14:textFill>
        </w:rPr>
        <w:t>经生源地教育行政部门</w:t>
      </w:r>
      <w:r>
        <w:rPr>
          <w:rFonts w:hint="eastAsia" w:ascii="仿宋_GB2312" w:hAnsi="宋体" w:eastAsia="仿宋_GB2312"/>
          <w:color w:val="000000" w:themeColor="text1"/>
          <w:sz w:val="32"/>
          <w:szCs w:val="32"/>
          <w:highlight w:val="none"/>
          <w14:textFill>
            <w14:solidFill>
              <w14:schemeClr w14:val="tx1"/>
            </w14:solidFill>
          </w14:textFill>
        </w:rPr>
        <w:t>审核，</w:t>
      </w:r>
      <w:r>
        <w:rPr>
          <w:rFonts w:hint="eastAsia" w:ascii="仿宋_GB2312" w:hAnsi="宋体" w:eastAsia="仿宋_GB2312"/>
          <w:color w:val="000000" w:themeColor="text1"/>
          <w:sz w:val="32"/>
          <w:szCs w:val="32"/>
          <w:highlight w:val="none"/>
          <w:lang w:val="en-US" w:eastAsia="zh-CN"/>
          <w14:textFill>
            <w14:solidFill>
              <w14:schemeClr w14:val="tx1"/>
            </w14:solidFill>
          </w14:textFill>
        </w:rPr>
        <w:t>乙方确认丙方符合报考条件。甲方按照研究生招生录取有关规定，录取</w:t>
      </w:r>
      <w:r>
        <w:rPr>
          <w:rFonts w:hint="eastAsia" w:ascii="Times New Roman" w:hAnsi="Times New Roman" w:eastAsia="方正仿宋_GBK" w:cs="Times New Roman"/>
          <w:color w:val="000000" w:themeColor="text1"/>
          <w:sz w:val="32"/>
          <w:szCs w:val="32"/>
          <w:highlight w:val="none"/>
          <w:lang w:eastAsia="zh-CN"/>
          <w14:textFill>
            <w14:solidFill>
              <w14:schemeClr w14:val="tx1"/>
            </w14:solidFill>
          </w14:textFill>
        </w:rPr>
        <w:t>丙方为</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本校</w:t>
      </w:r>
      <w:r>
        <w:rPr>
          <w:rFonts w:hint="eastAsia" w:ascii="Times New Roman" w:hAnsi="Times New Roman" w:eastAsia="方正仿宋_GBK" w:cs="Times New Roman"/>
          <w:color w:val="000000" w:themeColor="text1"/>
          <w:sz w:val="32"/>
          <w:szCs w:val="32"/>
          <w:highlight w:val="none"/>
          <w:u w:val="single"/>
          <w:lang w:val="en-US" w:eastAsia="zh-CN"/>
          <w14:textFill>
            <w14:solidFill>
              <w14:schemeClr w14:val="tx1"/>
            </w14:solidFill>
          </w14:textFill>
        </w:rPr>
        <w:t xml:space="preserve">           </w:t>
      </w:r>
      <w:r>
        <w:rPr>
          <w:rFonts w:hint="eastAsia" w:ascii="Times New Roman" w:hAnsi="Times New Roman" w:eastAsia="方正仿宋_GBK" w:cs="Times New Roman"/>
          <w:color w:val="000000" w:themeColor="text1"/>
          <w:sz w:val="32"/>
          <w:szCs w:val="32"/>
          <w:highlight w:val="none"/>
          <w:u w:val="none"/>
          <w:lang w:val="en-US" w:eastAsia="zh-CN"/>
          <w14:textFill>
            <w14:solidFill>
              <w14:schemeClr w14:val="tx1"/>
            </w14:solidFill>
          </w14:textFill>
        </w:rPr>
        <w:t>学院（系、部、所）</w:t>
      </w:r>
      <w:r>
        <w:rPr>
          <w:rFonts w:hint="eastAsia" w:ascii="Times New Roman" w:hAnsi="Times New Roman" w:eastAsia="方正仿宋_GBK" w:cs="Times New Roman"/>
          <w:color w:val="000000" w:themeColor="text1"/>
          <w:sz w:val="32"/>
          <w:szCs w:val="32"/>
          <w:highlight w:val="none"/>
          <w:u w:val="single"/>
          <w:lang w:val="en-US" w:eastAsia="zh-CN"/>
          <w14:textFill>
            <w14:solidFill>
              <w14:schemeClr w14:val="tx1"/>
            </w14:solidFill>
          </w14:textFill>
        </w:rPr>
        <w:t xml:space="preserve"> 2025 </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年</w:t>
      </w:r>
      <w:r>
        <w:rPr>
          <w:rFonts w:hint="eastAsia" w:ascii="Times New Roman" w:hAnsi="Times New Roman" w:eastAsia="方正仿宋_GBK" w:cs="Times New Roman"/>
          <w:color w:val="000000" w:themeColor="text1"/>
          <w:sz w:val="32"/>
          <w:szCs w:val="32"/>
          <w:highlight w:val="none"/>
          <w:u w:val="single"/>
          <w:lang w:val="en-US" w:eastAsia="zh-CN"/>
          <w14:textFill>
            <w14:solidFill>
              <w14:schemeClr w14:val="tx1"/>
            </w14:solidFill>
          </w14:textFill>
        </w:rPr>
        <w:t xml:space="preserve">       </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专业□</w:t>
      </w:r>
      <w:r>
        <w:rPr>
          <w:rFonts w:hint="eastAsia" w:ascii="Times New Roman" w:hAnsi="Times New Roman" w:eastAsia="方正仿宋_GBK" w:cs="Times New Roman"/>
          <w:color w:val="000000" w:themeColor="text1"/>
          <w:sz w:val="32"/>
          <w:szCs w:val="32"/>
          <w:highlight w:val="none"/>
          <w:u w:val="none"/>
          <w:lang w:val="en-US" w:eastAsia="zh-CN"/>
          <w14:textFill>
            <w14:solidFill>
              <w14:schemeClr w14:val="tx1"/>
            </w14:solidFill>
          </w14:textFill>
        </w:rPr>
        <w:t>全日制/</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highlight w:val="none"/>
          <w:u w:val="none"/>
          <w:lang w:val="en-US" w:eastAsia="zh-CN"/>
          <w14:textFill>
            <w14:solidFill>
              <w14:schemeClr w14:val="tx1"/>
            </w14:solidFill>
          </w14:textFill>
        </w:rPr>
        <w:t xml:space="preserve">非全日制 </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highlight w:val="none"/>
          <w:u w:val="none"/>
          <w:lang w:val="en-US" w:eastAsia="zh-CN"/>
          <w14:textFill>
            <w14:solidFill>
              <w14:schemeClr w14:val="tx1"/>
            </w14:solidFill>
          </w14:textFill>
        </w:rPr>
        <w:t>硕士/</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highlight w:val="none"/>
          <w:u w:val="none"/>
          <w:lang w:val="en-US" w:eastAsia="zh-CN"/>
          <w14:textFill>
            <w14:solidFill>
              <w14:schemeClr w14:val="tx1"/>
            </w14:solidFill>
          </w14:textFill>
        </w:rPr>
        <w:t>博士研究生。</w:t>
      </w:r>
    </w:p>
    <w:p w14:paraId="439D1267">
      <w:pPr>
        <w:keepNext w:val="0"/>
        <w:keepLines w:val="0"/>
        <w:pageBreakBefore w:val="0"/>
        <w:widowControl/>
        <w:numPr>
          <w:ilvl w:val="-1"/>
          <w:numId w:val="0"/>
        </w:numPr>
        <w:kinsoku/>
        <w:wordWrap/>
        <w:overflowPunct/>
        <w:topLinePunct w:val="0"/>
        <w:autoSpaceDE/>
        <w:autoSpaceDN/>
        <w:bidi w:val="0"/>
        <w:adjustRightInd/>
        <w:snapToGrid/>
        <w:spacing w:line="600" w:lineRule="exact"/>
        <w:ind w:right="0" w:rightChars="0" w:firstLine="640" w:firstLineChars="200"/>
        <w:textAlignment w:val="auto"/>
        <w:outlineLvl w:val="9"/>
        <w:rPr>
          <w:rFonts w:hint="default"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二、甲方的权利义务</w:t>
      </w:r>
    </w:p>
    <w:p w14:paraId="7F140C58">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Times New Roman" w:hAnsi="Times New Roman" w:eastAsia="仿宋_GB2312" w:cs="仿宋_GB2312"/>
          <w:color w:val="000000" w:themeColor="text1"/>
          <w:sz w:val="32"/>
          <w:szCs w:val="32"/>
          <w:highlight w:val="none"/>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 xml:space="preserve">1. </w:t>
      </w:r>
      <w:r>
        <w:rPr>
          <w:rFonts w:hint="eastAsia" w:ascii="Times New Roman" w:hAnsi="Times New Roman" w:eastAsia="仿宋_GB2312" w:cs="仿宋_GB2312"/>
          <w:color w:val="000000" w:themeColor="text1"/>
          <w:sz w:val="32"/>
          <w:szCs w:val="32"/>
          <w:highlight w:val="none"/>
          <w14:textFill>
            <w14:solidFill>
              <w14:schemeClr w14:val="tx1"/>
            </w14:solidFill>
          </w14:textFill>
        </w:rPr>
        <w:t>按照</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为南疆地区高校</w:t>
      </w:r>
      <w:r>
        <w:rPr>
          <w:rFonts w:hint="eastAsia" w:ascii="Times New Roman" w:hAnsi="Times New Roman" w:eastAsia="仿宋_GB2312" w:cs="仿宋_GB2312"/>
          <w:color w:val="000000" w:themeColor="text1"/>
          <w:sz w:val="32"/>
          <w:szCs w:val="32"/>
          <w:highlight w:val="none"/>
          <w14:textFill>
            <w14:solidFill>
              <w14:schemeClr w14:val="tx1"/>
            </w14:solidFill>
          </w14:textFill>
        </w:rPr>
        <w:t>培养优秀</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师资的</w:t>
      </w:r>
      <w:r>
        <w:rPr>
          <w:rFonts w:hint="eastAsia" w:ascii="Times New Roman" w:hAnsi="Times New Roman" w:eastAsia="仿宋_GB2312" w:cs="仿宋_GB2312"/>
          <w:color w:val="000000" w:themeColor="text1"/>
          <w:sz w:val="32"/>
          <w:szCs w:val="32"/>
          <w:highlight w:val="none"/>
          <w14:textFill>
            <w14:solidFill>
              <w14:schemeClr w14:val="tx1"/>
            </w14:solidFill>
          </w14:textFill>
        </w:rPr>
        <w:t>目标，制订培养方案，提供优良的教育教学条件，</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加强对丙</w:t>
      </w:r>
      <w:r>
        <w:rPr>
          <w:rFonts w:hint="eastAsia" w:ascii="Times New Roman" w:hAnsi="Times New Roman" w:eastAsia="仿宋_GB2312" w:cs="仿宋_GB2312"/>
          <w:color w:val="000000" w:themeColor="text1"/>
          <w:sz w:val="32"/>
          <w:szCs w:val="32"/>
          <w:highlight w:val="none"/>
          <w14:textFill>
            <w14:solidFill>
              <w14:schemeClr w14:val="tx1"/>
            </w14:solidFill>
          </w14:textFill>
        </w:rPr>
        <w:t>方</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的</w:t>
      </w:r>
      <w:r>
        <w:rPr>
          <w:rFonts w:hint="eastAsia" w:ascii="Times New Roman" w:hAnsi="Times New Roman" w:eastAsia="仿宋_GB2312" w:cs="仿宋_GB2312"/>
          <w:color w:val="000000" w:themeColor="text1"/>
          <w:sz w:val="32"/>
          <w:szCs w:val="32"/>
          <w:highlight w:val="none"/>
          <w14:textFill>
            <w14:solidFill>
              <w14:schemeClr w14:val="tx1"/>
            </w14:solidFill>
          </w14:textFill>
        </w:rPr>
        <w:t>教育培养。</w:t>
      </w:r>
    </w:p>
    <w:p w14:paraId="22916B8A">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2. 按研究生学籍管理</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规定</w:t>
      </w:r>
      <w:r>
        <w:rPr>
          <w:rFonts w:hint="eastAsia" w:ascii="Times New Roman" w:hAnsi="Times New Roman" w:eastAsia="方正仿宋_GBK" w:cs="Times New Roman"/>
          <w:color w:val="000000" w:themeColor="text1"/>
          <w:sz w:val="32"/>
          <w:szCs w:val="32"/>
          <w:highlight w:val="none"/>
          <w:lang w:eastAsia="zh-CN"/>
          <w14:textFill>
            <w14:solidFill>
              <w14:schemeClr w14:val="tx1"/>
            </w14:solidFill>
          </w14:textFill>
        </w:rPr>
        <w:t>及时办理</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丙方</w:t>
      </w:r>
      <w:r>
        <w:rPr>
          <w:rFonts w:hint="eastAsia" w:ascii="Times New Roman" w:hAnsi="Times New Roman" w:eastAsia="方正仿宋_GBK" w:cs="Times New Roman"/>
          <w:color w:val="000000" w:themeColor="text1"/>
          <w:sz w:val="32"/>
          <w:szCs w:val="32"/>
          <w:highlight w:val="none"/>
          <w:lang w:eastAsia="zh-CN"/>
          <w14:textFill>
            <w14:solidFill>
              <w14:schemeClr w14:val="tx1"/>
            </w14:solidFill>
          </w14:textFill>
        </w:rPr>
        <w:t>入学手续并注册学籍，</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按</w:t>
      </w:r>
      <w:r>
        <w:rPr>
          <w:rFonts w:hint="eastAsia" w:ascii="Times New Roman" w:hAnsi="Times New Roman" w:eastAsia="仿宋_GB2312" w:cs="仿宋_GB2312"/>
          <w:color w:val="000000" w:themeColor="text1"/>
          <w:sz w:val="32"/>
          <w:szCs w:val="32"/>
          <w:highlight w:val="none"/>
          <w14:textFill>
            <w14:solidFill>
              <w14:schemeClr w14:val="tx1"/>
            </w14:solidFill>
          </w14:textFill>
        </w:rPr>
        <w:t>《</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普通高等学校学生管理规定</w:t>
      </w:r>
      <w:r>
        <w:rPr>
          <w:rFonts w:hint="eastAsia" w:ascii="Times New Roman" w:hAnsi="Times New Roman" w:eastAsia="仿宋_GB2312" w:cs="仿宋_GB2312"/>
          <w:color w:val="000000" w:themeColor="text1"/>
          <w:sz w:val="32"/>
          <w:szCs w:val="32"/>
          <w:highlight w:val="none"/>
          <w14:textFill>
            <w14:solidFill>
              <w14:schemeClr w14:val="tx1"/>
            </w14:solidFill>
          </w14:textFill>
        </w:rPr>
        <w:t>》</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等</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要求做好</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丙方学习期间</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的管理工作</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w:t>
      </w:r>
    </w:p>
    <w:p w14:paraId="4D81A1B8">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Times New Roman" w:hAnsi="Times New Roman" w:eastAsia="仿宋_GB2312" w:cs="仿宋_GB2312"/>
          <w:color w:val="000000" w:themeColor="text1"/>
          <w:sz w:val="32"/>
          <w:szCs w:val="32"/>
          <w:highlight w:val="none"/>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 xml:space="preserve">3. </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甲方</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在</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丙方学习期满、</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符合毕业条件</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后</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，准予</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丙方</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毕业。</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丙方</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符合相应学位授予条件，</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甲方</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授予相应学位。丙方</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毕业后，</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甲方将丙方毕业证书、学位证书及就读期间档案等</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集中</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寄送乙方</w:t>
      </w:r>
      <w:r>
        <w:rPr>
          <w:rFonts w:hint="eastAsia" w:ascii="Times New Roman" w:hAnsi="Times New Roman" w:eastAsia="仿宋_GB2312" w:cs="仿宋_GB2312"/>
          <w:color w:val="000000" w:themeColor="text1"/>
          <w:sz w:val="32"/>
          <w:szCs w:val="32"/>
          <w:highlight w:val="none"/>
          <w14:textFill>
            <w14:solidFill>
              <w14:schemeClr w14:val="tx1"/>
            </w14:solidFill>
          </w14:textFill>
        </w:rPr>
        <w:t>。</w:t>
      </w:r>
    </w:p>
    <w:p w14:paraId="7A53F33A">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Times New Roman" w:hAnsi="Times New Roman" w:eastAsia="仿宋_GB2312" w:cs="仿宋_GB2312"/>
          <w:color w:val="000000" w:themeColor="text1"/>
          <w:sz w:val="32"/>
          <w:szCs w:val="32"/>
          <w:highlight w:val="none"/>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 xml:space="preserve">4. </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甲方负责落实丙方毕业去向至</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南疆就业高校</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按有关规定配合将</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丙方户口及党团组织关系</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等转入南疆就业高校</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w:t>
      </w:r>
    </w:p>
    <w:p w14:paraId="1BB7A9FA">
      <w:pPr>
        <w:keepNext w:val="0"/>
        <w:keepLines w:val="0"/>
        <w:pageBreakBefore w:val="0"/>
        <w:widowControl/>
        <w:numPr>
          <w:ilvl w:val="-1"/>
          <w:numId w:val="0"/>
        </w:numPr>
        <w:kinsoku/>
        <w:wordWrap/>
        <w:overflowPunct/>
        <w:topLinePunct w:val="0"/>
        <w:autoSpaceDE/>
        <w:autoSpaceDN/>
        <w:bidi w:val="0"/>
        <w:adjustRightInd/>
        <w:snapToGrid/>
        <w:spacing w:line="600" w:lineRule="exact"/>
        <w:ind w:right="0" w:rightChars="0" w:firstLine="640" w:firstLineChars="200"/>
        <w:textAlignment w:val="auto"/>
        <w:outlineLvl w:val="9"/>
        <w:rPr>
          <w:rFonts w:hint="default"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三、乙方的权利义务</w:t>
      </w:r>
    </w:p>
    <w:p w14:paraId="567D88AC">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1. 新疆维吾尔自治区教育厅、新疆生产建设兵团教育局统筹南疆地区高校师资队伍建设需求，丙方到阿克苏地区、喀什地区、和田地区、巴音郭楞蒙古自治州、克孜勒苏柯尔克孜自治州等地区高校就业，由新疆维吾尔自治区教育厅履行乙方权利义务；丙方到兵团第一师、第二师、第三师、第十四师、兵地融合发展草湖项目区等地区高校就业，由新疆生产建设兵团教育局履行乙方权利义务。</w:t>
      </w:r>
    </w:p>
    <w:p w14:paraId="75E779BC">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2. 乙方根据南疆高校建设需要统筹提出培养需求。</w:t>
      </w:r>
    </w:p>
    <w:p w14:paraId="6F1AB167">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3. 配合甲方，指导定向就业高校采取不同形式向学习期间的丙方介绍新疆南疆地区社情民情、南疆地区高校发展情况，并对丙方的思想、学习等方面的情况进行考察了解。</w:t>
      </w:r>
    </w:p>
    <w:p w14:paraId="594EB2D0">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4. 会同人力资源社会保障等部门指导丙方至南疆地区高校就业。在丙方毕业时，乙方指导定向就业高校组织对丙方进行专业知识和技能、工作能力和综合素质等方面进行考核，指导丙方、南疆地区高校根据丙方所学专业、需求岗位进行双向选择。</w:t>
      </w:r>
    </w:p>
    <w:p w14:paraId="53E1BDDC">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5. 在丙方毕业后，指导丙方与南疆地区高校签订就业协议。</w:t>
      </w:r>
    </w:p>
    <w:p w14:paraId="153E35AD">
      <w:pPr>
        <w:keepNext w:val="0"/>
        <w:keepLines w:val="0"/>
        <w:pageBreakBefore w:val="0"/>
        <w:widowControl/>
        <w:numPr>
          <w:ilvl w:val="-1"/>
          <w:numId w:val="0"/>
        </w:numPr>
        <w:kinsoku/>
        <w:wordWrap/>
        <w:overflowPunct/>
        <w:topLinePunct w:val="0"/>
        <w:autoSpaceDE/>
        <w:autoSpaceDN/>
        <w:bidi w:val="0"/>
        <w:adjustRightInd/>
        <w:snapToGrid/>
        <w:spacing w:line="600" w:lineRule="exact"/>
        <w:ind w:right="0" w:rightChars="0" w:firstLine="640" w:firstLineChars="200"/>
        <w:textAlignment w:val="auto"/>
        <w:outlineLvl w:val="9"/>
        <w:rPr>
          <w:rFonts w:hint="default"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四、丙方的权利义务</w:t>
      </w:r>
    </w:p>
    <w:p w14:paraId="2FCB67EC">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 xml:space="preserve">1. </w:t>
      </w:r>
      <w:r>
        <w:rPr>
          <w:rFonts w:hint="default" w:ascii="Times New Roman" w:hAnsi="Times New Roman" w:eastAsia="仿宋_GB2312" w:cs="仿宋_GB2312"/>
          <w:color w:val="000000" w:themeColor="text1"/>
          <w:sz w:val="32"/>
          <w:szCs w:val="32"/>
          <w:highlight w:val="none"/>
          <w:lang w:val="en-US" w:eastAsia="zh-CN"/>
          <w14:textFill>
            <w14:solidFill>
              <w14:schemeClr w14:val="tx1"/>
            </w14:solidFill>
          </w14:textFill>
        </w:rPr>
        <w:t>丙</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方在校学习期间与普通类研究生招生计划录取研究生实行统一标准、统一要求、统一管理，修业年限、学业奖励等在校期间教育管理服务事项，与其他普通类研究生招生计划录取研究生一致。丙方在校期间教育管理服务各类事项，包括出国交换学习、学籍变动、学业奖助等，均按甲方有关规定执行。丙方学习期间不得变更专业。</w:t>
      </w:r>
    </w:p>
    <w:p w14:paraId="1B1D734F">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2. 丙方按国家及甲方相关规定缴纳学费、住宿费等费用。丙方学习期间，户口、个人档案及党团关系按甲方有关规定办理。</w:t>
      </w:r>
    </w:p>
    <w:p w14:paraId="499D8DBB">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3. 丙方在入学前，需在甲方指定的二级甲等（含）以上医院体检，体检须符合教师资格认定体检标准，方可办理入学手续。</w:t>
      </w:r>
    </w:p>
    <w:p w14:paraId="4815FFB1">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4. 丙方在校期间，须严格遵守国家法律法规及甲方各项规章制度，按时完成学业，取得相应的学位证书和毕业证书。</w:t>
      </w:r>
    </w:p>
    <w:p w14:paraId="7891D86B">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Times New Roman" w:hAnsi="Times New Roman" w:eastAsia="仿宋_GB2312" w:cs="仿宋_GB2312"/>
          <w:color w:val="FF0000"/>
          <w:sz w:val="32"/>
          <w:szCs w:val="32"/>
          <w:highlight w:val="none"/>
          <w:lang w:val="en-US" w:eastAsia="zh-CN"/>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5. 丙方毕业后，参加就业高校考核，双向选择确定就业的南疆高校及岗位。丙方在南疆高校工作服务年限，硕士毕业生不得少于3年（含），博士毕业生不得少于5年（含）。</w:t>
      </w:r>
    </w:p>
    <w:p w14:paraId="786062FB">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6. 丙方入职后，须遵守乙方及就业高校有关规章制度，发挥专业所学，为学校发展和教育质量提升贡献力量。</w:t>
      </w:r>
    </w:p>
    <w:p w14:paraId="553B1D8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olor w:val="000000" w:themeColor="text1"/>
          <w:sz w:val="32"/>
          <w:szCs w:val="32"/>
          <w:highlight w:val="none"/>
          <w:lang w:val="en-US" w:eastAsia="zh-CN"/>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五、延长</w:t>
      </w:r>
      <w:r>
        <w:rPr>
          <w:rFonts w:hint="eastAsia" w:ascii="黑体" w:hAnsi="黑体" w:eastAsia="黑体"/>
          <w:color w:val="000000" w:themeColor="text1"/>
          <w:sz w:val="32"/>
          <w:szCs w:val="32"/>
          <w:highlight w:val="none"/>
          <w:lang w:eastAsia="zh-CN"/>
          <w14:textFill>
            <w14:solidFill>
              <w14:schemeClr w14:val="tx1"/>
            </w14:solidFill>
          </w14:textFill>
        </w:rPr>
        <w:t>、</w:t>
      </w:r>
      <w:r>
        <w:rPr>
          <w:rFonts w:hint="eastAsia" w:ascii="黑体" w:hAnsi="黑体" w:eastAsia="黑体"/>
          <w:color w:val="000000" w:themeColor="text1"/>
          <w:sz w:val="32"/>
          <w:szCs w:val="32"/>
          <w:highlight w:val="none"/>
          <w14:textFill>
            <w14:solidFill>
              <w14:schemeClr w14:val="tx1"/>
            </w14:solidFill>
          </w14:textFill>
        </w:rPr>
        <w:t>终止</w:t>
      </w:r>
      <w:r>
        <w:rPr>
          <w:rFonts w:hint="eastAsia" w:ascii="黑体" w:hAnsi="黑体" w:eastAsia="黑体"/>
          <w:color w:val="000000" w:themeColor="text1"/>
          <w:sz w:val="32"/>
          <w:szCs w:val="32"/>
          <w:highlight w:val="none"/>
          <w:lang w:val="en-US" w:eastAsia="zh-CN"/>
          <w14:textFill>
            <w14:solidFill>
              <w14:schemeClr w14:val="tx1"/>
            </w14:solidFill>
          </w14:textFill>
        </w:rPr>
        <w:t>事项</w:t>
      </w:r>
    </w:p>
    <w:p w14:paraId="4BF88968">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1. 学习期间如有应征入伍等特殊原因确需休学，由丙方提出书面申请，征得甲方同意后，按甲方有关规定执行，并告知乙方。由于休学造成延期毕业、就业延后的，待情况允许须继续履行协议，履约时间相应延长。</w:t>
      </w:r>
    </w:p>
    <w:p w14:paraId="33517D5D">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2. 确因身体原因不能完成学业，经甲方指定的二级甲等（含）以上医院认定，可终止协议。</w:t>
      </w:r>
    </w:p>
    <w:p w14:paraId="4BF12BC1">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六、违约情形及处理</w:t>
      </w:r>
    </w:p>
    <w:p w14:paraId="46A9708F">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1. 丙方学习期间被勒令退学、受开除学籍处分，视为丙方违约，由甲方按有关规定处理，并书面告知乙方。丙方无故退学，视为丙方违约。丙方未按规定时间取得毕业证书、相应学历学位证书的，视为丙方违约。</w:t>
      </w:r>
    </w:p>
    <w:p w14:paraId="0E8CB3CE">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2. 丙方在报考、学习、就业等环节有弄虚作假或其他违规违纪行为的，依据有关规定处理，视为丙方违约。</w:t>
      </w:r>
    </w:p>
    <w:p w14:paraId="32EB9E05">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default" w:ascii="Times New Roman" w:hAnsi="Times New Roman"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3. 丙方毕业后未按协议就业等违约情形，甲方或乙方可以通过新媒体平台向社会公布丙方不守诚信的信息；如学习期间丙方通过甲方、乙方获得政策资助的，须按原金额一次性退还。</w:t>
      </w:r>
    </w:p>
    <w:p w14:paraId="1D27A8B0">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olor w:val="000000" w:themeColor="text1"/>
          <w:sz w:val="32"/>
          <w:szCs w:val="32"/>
          <w:highlight w:val="none"/>
          <w:lang w:eastAsia="zh-CN"/>
          <w14:textFill>
            <w14:solidFill>
              <w14:schemeClr w14:val="tx1"/>
            </w14:solidFill>
          </w14:textFill>
        </w:rPr>
      </w:pPr>
      <w:r>
        <w:rPr>
          <w:rFonts w:hint="eastAsia" w:ascii="黑体" w:hAnsi="黑体" w:eastAsia="黑体"/>
          <w:color w:val="000000" w:themeColor="text1"/>
          <w:sz w:val="32"/>
          <w:szCs w:val="32"/>
          <w:highlight w:val="none"/>
          <w:lang w:val="en-US" w:eastAsia="zh-CN"/>
          <w14:textFill>
            <w14:solidFill>
              <w14:schemeClr w14:val="tx1"/>
            </w14:solidFill>
          </w14:textFill>
        </w:rPr>
        <w:t>七</w:t>
      </w:r>
      <w:r>
        <w:rPr>
          <w:rFonts w:hint="eastAsia" w:ascii="黑体" w:hAnsi="黑体" w:eastAsia="黑体"/>
          <w:color w:val="000000" w:themeColor="text1"/>
          <w:sz w:val="32"/>
          <w:szCs w:val="32"/>
          <w:highlight w:val="none"/>
          <w14:textFill>
            <w14:solidFill>
              <w14:schemeClr w14:val="tx1"/>
            </w14:solidFill>
          </w14:textFill>
        </w:rPr>
        <w:t>、</w:t>
      </w:r>
      <w:r>
        <w:rPr>
          <w:rFonts w:hint="eastAsia" w:ascii="黑体" w:hAnsi="黑体" w:eastAsia="黑体"/>
          <w:color w:val="000000" w:themeColor="text1"/>
          <w:sz w:val="32"/>
          <w:szCs w:val="32"/>
          <w:highlight w:val="none"/>
          <w:lang w:val="en-US" w:eastAsia="zh-CN"/>
          <w14:textFill>
            <w14:solidFill>
              <w14:schemeClr w14:val="tx1"/>
            </w14:solidFill>
          </w14:textFill>
        </w:rPr>
        <w:t>附则</w:t>
      </w:r>
    </w:p>
    <w:p w14:paraId="3E977797">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default" w:ascii="Times New Roman" w:hAnsi="Times New Roman"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 xml:space="preserve">1. </w:t>
      </w:r>
      <w:r>
        <w:rPr>
          <w:rFonts w:hint="eastAsia" w:ascii="仿宋_GB2312" w:hAnsi="宋体" w:eastAsia="仿宋_GB2312"/>
          <w:color w:val="000000" w:themeColor="text1"/>
          <w:sz w:val="32"/>
          <w:szCs w:val="32"/>
          <w:highlight w:val="none"/>
          <w14:textFill>
            <w14:solidFill>
              <w14:schemeClr w14:val="tx1"/>
            </w14:solidFill>
          </w14:textFill>
        </w:rPr>
        <w:t>本协议未尽事宜</w:t>
      </w:r>
      <w:r>
        <w:rPr>
          <w:rFonts w:hint="eastAsia" w:ascii="仿宋_GB2312" w:eastAsia="仿宋_GB2312"/>
          <w:color w:val="000000" w:themeColor="text1"/>
          <w:sz w:val="32"/>
          <w:szCs w:val="32"/>
          <w:highlight w:val="none"/>
          <w14:textFill>
            <w14:solidFill>
              <w14:schemeClr w14:val="tx1"/>
            </w14:solidFill>
          </w14:textFill>
        </w:rPr>
        <w:t>,</w:t>
      </w:r>
      <w:r>
        <w:rPr>
          <w:rFonts w:hint="eastAsia" w:ascii="仿宋_GB2312" w:hAnsi="宋体" w:eastAsia="仿宋_GB2312"/>
          <w:color w:val="000000" w:themeColor="text1"/>
          <w:sz w:val="32"/>
          <w:szCs w:val="32"/>
          <w:highlight w:val="none"/>
          <w14:textFill>
            <w14:solidFill>
              <w14:schemeClr w14:val="tx1"/>
            </w14:solidFill>
          </w14:textFill>
        </w:rPr>
        <w:t>凡属</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政策</w:t>
      </w:r>
      <w:r>
        <w:rPr>
          <w:rFonts w:hint="eastAsia" w:ascii="仿宋_GB2312" w:hAnsi="宋体" w:eastAsia="仿宋_GB2312"/>
          <w:color w:val="000000" w:themeColor="text1"/>
          <w:sz w:val="32"/>
          <w:szCs w:val="32"/>
          <w:highlight w:val="none"/>
          <w14:textFill>
            <w14:solidFill>
              <w14:schemeClr w14:val="tx1"/>
            </w14:solidFill>
          </w14:textFill>
        </w:rPr>
        <w:t>有规定的</w:t>
      </w:r>
      <w:r>
        <w:rPr>
          <w:rFonts w:hint="eastAsia" w:ascii="仿宋_GB2312" w:eastAsia="仿宋_GB2312"/>
          <w:color w:val="000000" w:themeColor="text1"/>
          <w:sz w:val="32"/>
          <w:szCs w:val="32"/>
          <w:highlight w:val="none"/>
          <w14:textFill>
            <w14:solidFill>
              <w14:schemeClr w14:val="tx1"/>
            </w14:solidFill>
          </w14:textFill>
        </w:rPr>
        <w:t>,</w:t>
      </w:r>
      <w:r>
        <w:rPr>
          <w:rFonts w:hint="eastAsia" w:ascii="仿宋_GB2312" w:hAnsi="宋体" w:eastAsia="仿宋_GB2312"/>
          <w:color w:val="000000" w:themeColor="text1"/>
          <w:sz w:val="32"/>
          <w:szCs w:val="32"/>
          <w:highlight w:val="none"/>
          <w14:textFill>
            <w14:solidFill>
              <w14:schemeClr w14:val="tx1"/>
            </w14:solidFill>
          </w14:textFill>
        </w:rPr>
        <w:t>按有关规定执行，其他事宜</w:t>
      </w:r>
      <w:r>
        <w:rPr>
          <w:rFonts w:hint="eastAsia" w:ascii="仿宋_GB2312" w:hAnsi="宋体" w:eastAsia="仿宋_GB2312"/>
          <w:color w:val="000000" w:themeColor="text1"/>
          <w:sz w:val="32"/>
          <w:szCs w:val="32"/>
          <w:highlight w:val="none"/>
          <w:lang w:val="en-US" w:eastAsia="zh-CN"/>
          <w14:textFill>
            <w14:solidFill>
              <w14:schemeClr w14:val="tx1"/>
            </w14:solidFill>
          </w14:textFill>
        </w:rPr>
        <w:t>由</w:t>
      </w:r>
      <w:r>
        <w:rPr>
          <w:rFonts w:hint="eastAsia" w:ascii="仿宋_GB2312" w:hAnsi="宋体" w:eastAsia="仿宋_GB2312"/>
          <w:color w:val="000000" w:themeColor="text1"/>
          <w:sz w:val="32"/>
          <w:szCs w:val="32"/>
          <w:highlight w:val="none"/>
          <w14:textFill>
            <w14:solidFill>
              <w14:schemeClr w14:val="tx1"/>
            </w14:solidFill>
          </w14:textFill>
        </w:rPr>
        <w:t>三方协商解决。</w:t>
      </w:r>
    </w:p>
    <w:p w14:paraId="22123F85">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default" w:ascii="Times New Roman" w:hAnsi="Times New Roman"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 xml:space="preserve">2. </w:t>
      </w:r>
      <w:r>
        <w:rPr>
          <w:rFonts w:hint="default" w:ascii="Times New Roman" w:hAnsi="Times New Roman" w:eastAsia="仿宋_GB2312" w:cs="仿宋_GB2312"/>
          <w:color w:val="000000" w:themeColor="text1"/>
          <w:sz w:val="32"/>
          <w:szCs w:val="32"/>
          <w:highlight w:val="none"/>
          <w:lang w:val="en-US" w:eastAsia="zh-CN"/>
          <w14:textFill>
            <w14:solidFill>
              <w14:schemeClr w14:val="tx1"/>
            </w14:solidFill>
          </w14:textFill>
        </w:rPr>
        <w:t>本协议</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通过中国研究生招生信息网“少数民族高层次骨干人才计划资格申请平台”在线签署</w:t>
      </w:r>
      <w:r>
        <w:rPr>
          <w:rFonts w:hint="default" w:ascii="Times New Roman" w:hAnsi="Times New Roman" w:eastAsia="仿宋_GB2312" w:cs="仿宋_GB2312"/>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在线签署及下载协议版本</w:t>
      </w:r>
      <w:r>
        <w:rPr>
          <w:rFonts w:hint="default" w:ascii="Times New Roman" w:hAnsi="Times New Roman" w:eastAsia="仿宋_GB2312" w:cs="仿宋_GB2312"/>
          <w:color w:val="000000" w:themeColor="text1"/>
          <w:sz w:val="32"/>
          <w:szCs w:val="32"/>
          <w:highlight w:val="none"/>
          <w:lang w:val="en-US" w:eastAsia="zh-CN"/>
          <w14:textFill>
            <w14:solidFill>
              <w14:schemeClr w14:val="tx1"/>
            </w14:solidFill>
          </w14:textFill>
        </w:rPr>
        <w:t>具有同等法律效力</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仿宋_GB2312"/>
          <w:color w:val="000000" w:themeColor="text1"/>
          <w:sz w:val="32"/>
          <w:szCs w:val="32"/>
          <w:highlight w:val="none"/>
          <w:lang w:val="en-US" w:eastAsia="zh-CN"/>
          <w14:textFill>
            <w14:solidFill>
              <w14:schemeClr w14:val="tx1"/>
            </w14:solidFill>
          </w14:textFill>
        </w:rPr>
        <w:t>自丙方取得正式学籍（报到）之</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日</w:t>
      </w:r>
      <w:r>
        <w:rPr>
          <w:rFonts w:hint="default" w:ascii="Times New Roman" w:hAnsi="Times New Roman" w:eastAsia="仿宋_GB2312" w:cs="仿宋_GB2312"/>
          <w:color w:val="000000" w:themeColor="text1"/>
          <w:sz w:val="32"/>
          <w:szCs w:val="32"/>
          <w:highlight w:val="none"/>
          <w:lang w:val="en-US" w:eastAsia="zh-CN"/>
          <w14:textFill>
            <w14:solidFill>
              <w14:schemeClr w14:val="tx1"/>
            </w14:solidFill>
          </w14:textFill>
        </w:rPr>
        <w:t>起生效。甲、乙、丙三方各持一份</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（在线签署后可在线下载），</w:t>
      </w:r>
      <w:r>
        <w:rPr>
          <w:rFonts w:hint="default" w:ascii="Times New Roman" w:hAnsi="Times New Roman" w:eastAsia="仿宋_GB2312" w:cs="仿宋_GB2312"/>
          <w:color w:val="000000" w:themeColor="text1"/>
          <w:sz w:val="32"/>
          <w:szCs w:val="32"/>
          <w:highlight w:val="none"/>
          <w:lang w:val="en-US" w:eastAsia="zh-CN"/>
          <w14:textFill>
            <w14:solidFill>
              <w14:schemeClr w14:val="tx1"/>
            </w14:solidFill>
          </w14:textFill>
        </w:rPr>
        <w:t>一份</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由甲方打印</w:t>
      </w:r>
      <w:r>
        <w:rPr>
          <w:rFonts w:hint="default" w:ascii="Times New Roman" w:hAnsi="Times New Roman" w:eastAsia="仿宋_GB2312" w:cs="仿宋_GB2312"/>
          <w:color w:val="000000" w:themeColor="text1"/>
          <w:sz w:val="32"/>
          <w:szCs w:val="32"/>
          <w:highlight w:val="none"/>
          <w:lang w:val="en-US" w:eastAsia="zh-CN"/>
          <w14:textFill>
            <w14:solidFill>
              <w14:schemeClr w14:val="tx1"/>
            </w14:solidFill>
          </w14:textFill>
        </w:rPr>
        <w:t>存入丙方个人档案。</w:t>
      </w:r>
    </w:p>
    <w:p w14:paraId="5EC46B36">
      <w:pPr>
        <w:keepNext w:val="0"/>
        <w:keepLines w:val="0"/>
        <w:pageBreakBefore w:val="0"/>
        <w:widowControl w:val="0"/>
        <w:kinsoku/>
        <w:wordWrap/>
        <w:overflowPunct/>
        <w:topLinePunct w:val="0"/>
        <w:autoSpaceDE/>
        <w:autoSpaceDN/>
        <w:bidi w:val="0"/>
        <w:adjustRightInd/>
        <w:snapToGrid/>
        <w:spacing w:line="400" w:lineRule="exact"/>
        <w:ind w:right="0" w:rightChars="0"/>
        <w:textAlignment w:val="auto"/>
        <w:outlineLvl w:val="9"/>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pPr>
    </w:p>
    <w:tbl>
      <w:tblPr>
        <w:tblStyle w:val="6"/>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29"/>
        <w:gridCol w:w="4593"/>
      </w:tblGrid>
      <w:tr w14:paraId="4B690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1" w:hRule="atLeast"/>
        </w:trPr>
        <w:tc>
          <w:tcPr>
            <w:tcW w:w="3929" w:type="dxa"/>
            <w:tcBorders>
              <w:tl2br w:val="nil"/>
              <w:tr2bl w:val="nil"/>
            </w:tcBorders>
            <w:vAlign w:val="top"/>
          </w:tcPr>
          <w:p w14:paraId="35DB441B">
            <w:pPr>
              <w:keepNext w:val="0"/>
              <w:keepLines w:val="0"/>
              <w:pageBreakBefore w:val="0"/>
              <w:widowControl w:val="0"/>
              <w:kinsoku/>
              <w:wordWrap/>
              <w:overflowPunct/>
              <w:topLinePunct w:val="0"/>
              <w:autoSpaceDE/>
              <w:autoSpaceDN/>
              <w:bidi w:val="0"/>
              <w:adjustRightInd/>
              <w:snapToGrid/>
              <w:spacing w:line="540" w:lineRule="exact"/>
              <w:ind w:right="0" w:rightChars="0"/>
              <w:textAlignment w:val="auto"/>
              <w:outlineLvl w:val="9"/>
              <w:rPr>
                <w:rFonts w:hint="eastAsia" w:ascii="楷体_GB2312" w:hAnsi="楷体_GB2312" w:eastAsia="楷体_GB2312" w:cs="楷体_GB2312"/>
                <w:color w:val="000000" w:themeColor="text1"/>
                <w:sz w:val="28"/>
                <w:szCs w:val="28"/>
                <w:highlight w:val="none"/>
                <w14:textFill>
                  <w14:solidFill>
                    <w14:schemeClr w14:val="tx1"/>
                  </w14:solidFill>
                </w14:textFill>
              </w:rPr>
            </w:pPr>
            <w:r>
              <w:rPr>
                <w:rFonts w:hint="eastAsia" w:ascii="楷体_GB2312" w:hAnsi="楷体_GB2312" w:eastAsia="楷体_GB2312" w:cs="楷体_GB2312"/>
                <w:color w:val="000000" w:themeColor="text1"/>
                <w:sz w:val="28"/>
                <w:szCs w:val="28"/>
                <w:highlight w:val="none"/>
                <w:lang w:eastAsia="zh-CN"/>
                <w14:textFill>
                  <w14:solidFill>
                    <w14:schemeClr w14:val="tx1"/>
                  </w14:solidFill>
                </w14:textFill>
              </w:rPr>
              <w:t>甲</w:t>
            </w:r>
            <w:r>
              <w:rPr>
                <w:rFonts w:hint="eastAsia" w:ascii="楷体_GB2312" w:hAnsi="楷体_GB2312" w:eastAsia="楷体_GB2312" w:cs="楷体_GB2312"/>
                <w:color w:val="000000" w:themeColor="text1"/>
                <w:sz w:val="28"/>
                <w:szCs w:val="28"/>
                <w:highlight w:val="none"/>
                <w14:textFill>
                  <w14:solidFill>
                    <w14:schemeClr w14:val="tx1"/>
                  </w14:solidFill>
                </w14:textFill>
              </w:rPr>
              <w:t>方单位</w:t>
            </w:r>
            <w:r>
              <w:rPr>
                <w:rFonts w:hint="eastAsia" w:ascii="楷体_GB2312" w:hAnsi="楷体_GB2312" w:eastAsia="楷体_GB2312" w:cs="楷体_GB2312"/>
                <w:color w:val="000000" w:themeColor="text1"/>
                <w:sz w:val="28"/>
                <w:szCs w:val="28"/>
                <w:highlight w:val="none"/>
                <w:lang w:eastAsia="zh-CN"/>
                <w14:textFill>
                  <w14:solidFill>
                    <w14:schemeClr w14:val="tx1"/>
                  </w14:solidFill>
                </w14:textFill>
              </w:rPr>
              <w:t>（</w:t>
            </w:r>
            <w:r>
              <w:rPr>
                <w:rFonts w:hint="eastAsia" w:ascii="楷体_GB2312" w:hAnsi="楷体_GB2312" w:eastAsia="楷体_GB2312" w:cs="楷体_GB2312"/>
                <w:color w:val="000000" w:themeColor="text1"/>
                <w:sz w:val="28"/>
                <w:szCs w:val="28"/>
                <w:highlight w:val="none"/>
                <w:lang w:val="en-US" w:eastAsia="zh-CN"/>
                <w14:textFill>
                  <w14:solidFill>
                    <w14:schemeClr w14:val="tx1"/>
                  </w14:solidFill>
                </w14:textFill>
              </w:rPr>
              <w:t>盖章</w:t>
            </w:r>
            <w:r>
              <w:rPr>
                <w:rFonts w:hint="eastAsia" w:ascii="楷体_GB2312" w:hAnsi="楷体_GB2312" w:eastAsia="楷体_GB2312" w:cs="楷体_GB2312"/>
                <w:color w:val="000000" w:themeColor="text1"/>
                <w:sz w:val="28"/>
                <w:szCs w:val="28"/>
                <w:highlight w:val="none"/>
                <w:lang w:eastAsia="zh-CN"/>
                <w14:textFill>
                  <w14:solidFill>
                    <w14:schemeClr w14:val="tx1"/>
                  </w14:solidFill>
                </w14:textFill>
              </w:rPr>
              <w:t>）</w:t>
            </w:r>
            <w:r>
              <w:rPr>
                <w:rFonts w:hint="eastAsia" w:ascii="楷体_GB2312" w:hAnsi="楷体_GB2312" w:eastAsia="楷体_GB2312" w:cs="楷体_GB2312"/>
                <w:color w:val="000000" w:themeColor="text1"/>
                <w:sz w:val="28"/>
                <w:szCs w:val="28"/>
                <w:highlight w:val="none"/>
                <w14:textFill>
                  <w14:solidFill>
                    <w14:schemeClr w14:val="tx1"/>
                  </w14:solidFill>
                </w14:textFill>
              </w:rPr>
              <w:t>：</w:t>
            </w:r>
          </w:p>
          <w:p w14:paraId="08BF3736">
            <w:pPr>
              <w:keepNext w:val="0"/>
              <w:keepLines w:val="0"/>
              <w:pageBreakBefore w:val="0"/>
              <w:widowControl w:val="0"/>
              <w:kinsoku/>
              <w:wordWrap/>
              <w:overflowPunct/>
              <w:topLinePunct w:val="0"/>
              <w:autoSpaceDE/>
              <w:autoSpaceDN/>
              <w:bidi w:val="0"/>
              <w:adjustRightInd/>
              <w:snapToGrid/>
              <w:spacing w:line="540" w:lineRule="exact"/>
              <w:ind w:right="0" w:rightChars="0"/>
              <w:textAlignment w:val="auto"/>
              <w:outlineLvl w:val="9"/>
              <w:rPr>
                <w:rFonts w:hint="eastAsia" w:ascii="楷体_GB2312" w:hAnsi="楷体_GB2312" w:eastAsia="楷体_GB2312" w:cs="楷体_GB2312"/>
                <w:color w:val="000000" w:themeColor="text1"/>
                <w:sz w:val="28"/>
                <w:szCs w:val="28"/>
                <w:highlight w:val="none"/>
                <w14:textFill>
                  <w14:solidFill>
                    <w14:schemeClr w14:val="tx1"/>
                  </w14:solidFill>
                </w14:textFill>
              </w:rPr>
            </w:pPr>
            <w:r>
              <w:rPr>
                <w:rFonts w:hint="eastAsia" w:ascii="楷体_GB2312" w:hAnsi="楷体_GB2312" w:eastAsia="楷体_GB2312" w:cs="楷体_GB2312"/>
                <w:color w:val="000000" w:themeColor="text1"/>
                <w:sz w:val="28"/>
                <w:szCs w:val="28"/>
                <w:highlight w:val="none"/>
                <w:lang w:eastAsia="zh-CN"/>
                <w14:textFill>
                  <w14:solidFill>
                    <w14:schemeClr w14:val="tx1"/>
                  </w14:solidFill>
                </w14:textFill>
              </w:rPr>
              <w:t>法定代表人签字</w:t>
            </w:r>
            <w:r>
              <w:rPr>
                <w:rFonts w:hint="eastAsia" w:ascii="楷体_GB2312" w:hAnsi="楷体_GB2312" w:eastAsia="楷体_GB2312" w:cs="楷体_GB2312"/>
                <w:color w:val="000000" w:themeColor="text1"/>
                <w:sz w:val="28"/>
                <w:szCs w:val="28"/>
                <w:highlight w:val="none"/>
                <w14:textFill>
                  <w14:solidFill>
                    <w14:schemeClr w14:val="tx1"/>
                  </w14:solidFill>
                </w14:textFill>
              </w:rPr>
              <w:t>：</w:t>
            </w:r>
          </w:p>
          <w:p w14:paraId="3CA8DC97">
            <w:pPr>
              <w:keepNext w:val="0"/>
              <w:keepLines w:val="0"/>
              <w:pageBreakBefore w:val="0"/>
              <w:widowControl w:val="0"/>
              <w:kinsoku/>
              <w:wordWrap/>
              <w:overflowPunct/>
              <w:topLinePunct w:val="0"/>
              <w:autoSpaceDE/>
              <w:autoSpaceDN/>
              <w:bidi w:val="0"/>
              <w:adjustRightInd/>
              <w:snapToGrid/>
              <w:spacing w:line="540" w:lineRule="exact"/>
              <w:ind w:right="0" w:rightChars="0"/>
              <w:textAlignment w:val="auto"/>
              <w:outlineLvl w:val="9"/>
              <w:rPr>
                <w:rFonts w:hint="eastAsia" w:ascii="楷体_GB2312" w:hAnsi="楷体_GB2312" w:eastAsia="楷体_GB2312" w:cs="楷体_GB2312"/>
                <w:color w:val="000000" w:themeColor="text1"/>
                <w:sz w:val="28"/>
                <w:szCs w:val="28"/>
                <w:highlight w:val="none"/>
                <w14:textFill>
                  <w14:solidFill>
                    <w14:schemeClr w14:val="tx1"/>
                  </w14:solidFill>
                </w14:textFill>
              </w:rPr>
            </w:pPr>
            <w:r>
              <w:rPr>
                <w:rFonts w:hint="eastAsia" w:ascii="楷体_GB2312" w:hAnsi="楷体_GB2312" w:eastAsia="楷体_GB2312" w:cs="楷体_GB2312"/>
                <w:color w:val="000000" w:themeColor="text1"/>
                <w:sz w:val="28"/>
                <w:szCs w:val="28"/>
                <w:highlight w:val="none"/>
                <w:lang w:val="en-US" w:eastAsia="zh-CN"/>
                <w14:textFill>
                  <w14:solidFill>
                    <w14:schemeClr w14:val="tx1"/>
                  </w14:solidFill>
                </w14:textFill>
              </w:rPr>
              <w:t xml:space="preserve">          </w:t>
            </w:r>
            <w:r>
              <w:rPr>
                <w:rFonts w:hint="eastAsia" w:ascii="楷体_GB2312" w:hAnsi="楷体_GB2312" w:eastAsia="楷体_GB2312" w:cs="楷体_GB2312"/>
                <w:color w:val="000000" w:themeColor="text1"/>
                <w:sz w:val="28"/>
                <w:szCs w:val="28"/>
                <w:highlight w:val="none"/>
                <w14:textFill>
                  <w14:solidFill>
                    <w14:schemeClr w14:val="tx1"/>
                  </w14:solidFill>
                </w14:textFill>
              </w:rPr>
              <w:t>年</w:t>
            </w:r>
            <w:r>
              <w:rPr>
                <w:rFonts w:hint="eastAsia" w:ascii="楷体_GB2312" w:hAnsi="楷体_GB2312" w:eastAsia="楷体_GB2312" w:cs="楷体_GB2312"/>
                <w:color w:val="000000" w:themeColor="text1"/>
                <w:sz w:val="28"/>
                <w:szCs w:val="28"/>
                <w:highlight w:val="none"/>
                <w:lang w:val="en-US" w:eastAsia="zh-CN"/>
                <w14:textFill>
                  <w14:solidFill>
                    <w14:schemeClr w14:val="tx1"/>
                  </w14:solidFill>
                </w14:textFill>
              </w:rPr>
              <w:t xml:space="preserve">  </w:t>
            </w:r>
            <w:r>
              <w:rPr>
                <w:rFonts w:hint="eastAsia" w:ascii="楷体_GB2312" w:hAnsi="楷体_GB2312" w:eastAsia="楷体_GB2312" w:cs="楷体_GB2312"/>
                <w:color w:val="000000" w:themeColor="text1"/>
                <w:sz w:val="28"/>
                <w:szCs w:val="28"/>
                <w:highlight w:val="none"/>
                <w14:textFill>
                  <w14:solidFill>
                    <w14:schemeClr w14:val="tx1"/>
                  </w14:solidFill>
                </w14:textFill>
              </w:rPr>
              <w:t>月</w:t>
            </w:r>
            <w:r>
              <w:rPr>
                <w:rFonts w:hint="eastAsia" w:ascii="楷体_GB2312" w:hAnsi="楷体_GB2312" w:eastAsia="楷体_GB2312" w:cs="楷体_GB2312"/>
                <w:color w:val="000000" w:themeColor="text1"/>
                <w:sz w:val="28"/>
                <w:szCs w:val="28"/>
                <w:highlight w:val="none"/>
                <w:lang w:val="en-US" w:eastAsia="zh-CN"/>
                <w14:textFill>
                  <w14:solidFill>
                    <w14:schemeClr w14:val="tx1"/>
                  </w14:solidFill>
                </w14:textFill>
              </w:rPr>
              <w:t xml:space="preserve">  </w:t>
            </w:r>
            <w:r>
              <w:rPr>
                <w:rFonts w:hint="eastAsia" w:ascii="楷体_GB2312" w:hAnsi="楷体_GB2312" w:eastAsia="楷体_GB2312" w:cs="楷体_GB2312"/>
                <w:color w:val="000000" w:themeColor="text1"/>
                <w:sz w:val="28"/>
                <w:szCs w:val="28"/>
                <w:highlight w:val="none"/>
                <w14:textFill>
                  <w14:solidFill>
                    <w14:schemeClr w14:val="tx1"/>
                  </w14:solidFill>
                </w14:textFill>
              </w:rPr>
              <w:t>日</w:t>
            </w:r>
          </w:p>
          <w:p w14:paraId="25CDDE81">
            <w:pPr>
              <w:keepNext w:val="0"/>
              <w:keepLines w:val="0"/>
              <w:pageBreakBefore w:val="0"/>
              <w:widowControl w:val="0"/>
              <w:kinsoku/>
              <w:wordWrap/>
              <w:overflowPunct/>
              <w:topLinePunct w:val="0"/>
              <w:autoSpaceDE/>
              <w:autoSpaceDN/>
              <w:bidi w:val="0"/>
              <w:adjustRightInd/>
              <w:snapToGrid/>
              <w:spacing w:line="400" w:lineRule="exact"/>
              <w:ind w:right="0" w:rightChars="0"/>
              <w:textAlignment w:val="auto"/>
              <w:outlineLvl w:val="9"/>
              <w:rPr>
                <w:rFonts w:hint="eastAsia" w:ascii="楷体_GB2312" w:hAnsi="楷体_GB2312" w:eastAsia="楷体_GB2312" w:cs="楷体_GB2312"/>
                <w:color w:val="000000" w:themeColor="text1"/>
                <w:sz w:val="28"/>
                <w:szCs w:val="28"/>
                <w:highlight w:val="none"/>
                <w:lang w:eastAsia="zh-CN"/>
                <w14:textFill>
                  <w14:solidFill>
                    <w14:schemeClr w14:val="tx1"/>
                  </w14:solidFill>
                </w14:textFill>
              </w:rPr>
            </w:pPr>
          </w:p>
        </w:tc>
        <w:tc>
          <w:tcPr>
            <w:tcW w:w="4593" w:type="dxa"/>
            <w:tcBorders>
              <w:tl2br w:val="nil"/>
              <w:tr2bl w:val="nil"/>
            </w:tcBorders>
            <w:vAlign w:val="top"/>
          </w:tcPr>
          <w:p w14:paraId="6AB63A04">
            <w:pPr>
              <w:keepNext w:val="0"/>
              <w:keepLines w:val="0"/>
              <w:pageBreakBefore w:val="0"/>
              <w:widowControl w:val="0"/>
              <w:kinsoku/>
              <w:wordWrap/>
              <w:overflowPunct/>
              <w:topLinePunct w:val="0"/>
              <w:autoSpaceDE/>
              <w:autoSpaceDN/>
              <w:bidi w:val="0"/>
              <w:adjustRightInd/>
              <w:snapToGrid/>
              <w:spacing w:line="540" w:lineRule="exact"/>
              <w:ind w:right="0" w:rightChars="0"/>
              <w:textAlignment w:val="auto"/>
              <w:outlineLvl w:val="9"/>
              <w:rPr>
                <w:rFonts w:hint="eastAsia" w:ascii="楷体_GB2312" w:hAnsi="楷体_GB2312" w:eastAsia="楷体_GB2312" w:cs="楷体_GB2312"/>
                <w:color w:val="000000" w:themeColor="text1"/>
                <w:sz w:val="28"/>
                <w:szCs w:val="28"/>
                <w:highlight w:val="none"/>
                <w14:textFill>
                  <w14:solidFill>
                    <w14:schemeClr w14:val="tx1"/>
                  </w14:solidFill>
                </w14:textFill>
              </w:rPr>
            </w:pPr>
            <w:r>
              <w:rPr>
                <w:rFonts w:hint="eastAsia" w:ascii="楷体_GB2312" w:hAnsi="楷体_GB2312" w:eastAsia="楷体_GB2312" w:cs="楷体_GB2312"/>
                <w:color w:val="000000" w:themeColor="text1"/>
                <w:sz w:val="28"/>
                <w:szCs w:val="28"/>
                <w:highlight w:val="none"/>
                <w:lang w:eastAsia="zh-CN"/>
                <w14:textFill>
                  <w14:solidFill>
                    <w14:schemeClr w14:val="tx1"/>
                  </w14:solidFill>
                </w14:textFill>
              </w:rPr>
              <w:t>乙</w:t>
            </w:r>
            <w:r>
              <w:rPr>
                <w:rFonts w:hint="eastAsia" w:ascii="楷体_GB2312" w:hAnsi="楷体_GB2312" w:eastAsia="楷体_GB2312" w:cs="楷体_GB2312"/>
                <w:color w:val="000000" w:themeColor="text1"/>
                <w:sz w:val="28"/>
                <w:szCs w:val="28"/>
                <w:highlight w:val="none"/>
                <w14:textFill>
                  <w14:solidFill>
                    <w14:schemeClr w14:val="tx1"/>
                  </w14:solidFill>
                </w14:textFill>
              </w:rPr>
              <w:t>方单位</w:t>
            </w:r>
            <w:r>
              <w:rPr>
                <w:rFonts w:hint="eastAsia" w:ascii="楷体_GB2312" w:hAnsi="楷体_GB2312" w:eastAsia="楷体_GB2312" w:cs="楷体_GB2312"/>
                <w:color w:val="000000" w:themeColor="text1"/>
                <w:sz w:val="28"/>
                <w:szCs w:val="28"/>
                <w:highlight w:val="none"/>
                <w:lang w:eastAsia="zh-CN"/>
                <w14:textFill>
                  <w14:solidFill>
                    <w14:schemeClr w14:val="tx1"/>
                  </w14:solidFill>
                </w14:textFill>
              </w:rPr>
              <w:t>（</w:t>
            </w:r>
            <w:r>
              <w:rPr>
                <w:rFonts w:hint="eastAsia" w:ascii="楷体_GB2312" w:hAnsi="楷体_GB2312" w:eastAsia="楷体_GB2312" w:cs="楷体_GB2312"/>
                <w:color w:val="000000" w:themeColor="text1"/>
                <w:sz w:val="28"/>
                <w:szCs w:val="28"/>
                <w:highlight w:val="none"/>
                <w:lang w:val="en-US" w:eastAsia="zh-CN"/>
                <w14:textFill>
                  <w14:solidFill>
                    <w14:schemeClr w14:val="tx1"/>
                  </w14:solidFill>
                </w14:textFill>
              </w:rPr>
              <w:t>盖章</w:t>
            </w:r>
            <w:r>
              <w:rPr>
                <w:rFonts w:hint="eastAsia" w:ascii="楷体_GB2312" w:hAnsi="楷体_GB2312" w:eastAsia="楷体_GB2312" w:cs="楷体_GB2312"/>
                <w:color w:val="000000" w:themeColor="text1"/>
                <w:sz w:val="28"/>
                <w:szCs w:val="28"/>
                <w:highlight w:val="none"/>
                <w:lang w:eastAsia="zh-CN"/>
                <w14:textFill>
                  <w14:solidFill>
                    <w14:schemeClr w14:val="tx1"/>
                  </w14:solidFill>
                </w14:textFill>
              </w:rPr>
              <w:t>）</w:t>
            </w:r>
            <w:r>
              <w:rPr>
                <w:rFonts w:hint="eastAsia" w:ascii="楷体_GB2312" w:hAnsi="楷体_GB2312" w:eastAsia="楷体_GB2312" w:cs="楷体_GB2312"/>
                <w:color w:val="000000" w:themeColor="text1"/>
                <w:sz w:val="28"/>
                <w:szCs w:val="28"/>
                <w:highlight w:val="none"/>
                <w14:textFill>
                  <w14:solidFill>
                    <w14:schemeClr w14:val="tx1"/>
                  </w14:solidFill>
                </w14:textFill>
              </w:rPr>
              <w:t>：</w:t>
            </w:r>
          </w:p>
          <w:p w14:paraId="3CC65DA7">
            <w:pPr>
              <w:keepNext w:val="0"/>
              <w:keepLines w:val="0"/>
              <w:pageBreakBefore w:val="0"/>
              <w:widowControl w:val="0"/>
              <w:kinsoku/>
              <w:wordWrap/>
              <w:overflowPunct/>
              <w:topLinePunct w:val="0"/>
              <w:autoSpaceDE/>
              <w:autoSpaceDN/>
              <w:bidi w:val="0"/>
              <w:adjustRightInd/>
              <w:snapToGrid/>
              <w:spacing w:line="540" w:lineRule="exact"/>
              <w:ind w:right="0" w:rightChars="0"/>
              <w:textAlignment w:val="auto"/>
              <w:outlineLvl w:val="9"/>
              <w:rPr>
                <w:rFonts w:hint="eastAsia" w:ascii="楷体_GB2312" w:hAnsi="楷体_GB2312" w:eastAsia="楷体_GB2312" w:cs="楷体_GB2312"/>
                <w:color w:val="000000" w:themeColor="text1"/>
                <w:sz w:val="28"/>
                <w:szCs w:val="28"/>
                <w:highlight w:val="none"/>
                <w14:textFill>
                  <w14:solidFill>
                    <w14:schemeClr w14:val="tx1"/>
                  </w14:solidFill>
                </w14:textFill>
              </w:rPr>
            </w:pPr>
            <w:r>
              <w:rPr>
                <w:rFonts w:hint="eastAsia" w:ascii="楷体_GB2312" w:hAnsi="楷体_GB2312" w:eastAsia="楷体_GB2312" w:cs="楷体_GB2312"/>
                <w:color w:val="000000" w:themeColor="text1"/>
                <w:sz w:val="28"/>
                <w:szCs w:val="28"/>
                <w:highlight w:val="none"/>
                <w:lang w:eastAsia="zh-CN"/>
                <w14:textFill>
                  <w14:solidFill>
                    <w14:schemeClr w14:val="tx1"/>
                  </w14:solidFill>
                </w14:textFill>
              </w:rPr>
              <w:t>法定代表人签字</w:t>
            </w:r>
            <w:r>
              <w:rPr>
                <w:rFonts w:hint="eastAsia" w:ascii="楷体_GB2312" w:hAnsi="楷体_GB2312" w:eastAsia="楷体_GB2312" w:cs="楷体_GB2312"/>
                <w:color w:val="000000" w:themeColor="text1"/>
                <w:sz w:val="28"/>
                <w:szCs w:val="28"/>
                <w:highlight w:val="none"/>
                <w14:textFill>
                  <w14:solidFill>
                    <w14:schemeClr w14:val="tx1"/>
                  </w14:solidFill>
                </w14:textFill>
              </w:rPr>
              <w:t>：</w:t>
            </w:r>
          </w:p>
          <w:p w14:paraId="4891F821">
            <w:pPr>
              <w:keepNext w:val="0"/>
              <w:keepLines w:val="0"/>
              <w:pageBreakBefore w:val="0"/>
              <w:widowControl w:val="0"/>
              <w:kinsoku/>
              <w:wordWrap/>
              <w:overflowPunct/>
              <w:topLinePunct w:val="0"/>
              <w:autoSpaceDE/>
              <w:autoSpaceDN/>
              <w:bidi w:val="0"/>
              <w:adjustRightInd/>
              <w:snapToGrid/>
              <w:spacing w:line="540" w:lineRule="exact"/>
              <w:ind w:right="0" w:rightChars="0"/>
              <w:textAlignment w:val="auto"/>
              <w:outlineLvl w:val="9"/>
              <w:rPr>
                <w:rFonts w:hint="eastAsia" w:ascii="楷体_GB2312" w:hAnsi="楷体_GB2312" w:eastAsia="楷体_GB2312" w:cs="楷体_GB2312"/>
                <w:color w:val="000000" w:themeColor="text1"/>
                <w:sz w:val="28"/>
                <w:szCs w:val="28"/>
                <w:highlight w:val="none"/>
                <w14:textFill>
                  <w14:solidFill>
                    <w14:schemeClr w14:val="tx1"/>
                  </w14:solidFill>
                </w14:textFill>
              </w:rPr>
            </w:pPr>
            <w:r>
              <w:rPr>
                <w:rFonts w:hint="eastAsia" w:ascii="楷体_GB2312" w:hAnsi="楷体_GB2312" w:eastAsia="楷体_GB2312" w:cs="楷体_GB2312"/>
                <w:color w:val="000000" w:themeColor="text1"/>
                <w:sz w:val="28"/>
                <w:szCs w:val="28"/>
                <w:highlight w:val="none"/>
                <w:lang w:val="en-US" w:eastAsia="zh-CN"/>
                <w14:textFill>
                  <w14:solidFill>
                    <w14:schemeClr w14:val="tx1"/>
                  </w14:solidFill>
                </w14:textFill>
              </w:rPr>
              <w:t xml:space="preserve">          </w:t>
            </w:r>
            <w:r>
              <w:rPr>
                <w:rFonts w:hint="eastAsia" w:ascii="楷体_GB2312" w:hAnsi="楷体_GB2312" w:eastAsia="楷体_GB2312" w:cs="楷体_GB2312"/>
                <w:color w:val="000000" w:themeColor="text1"/>
                <w:sz w:val="28"/>
                <w:szCs w:val="28"/>
                <w:highlight w:val="none"/>
                <w14:textFill>
                  <w14:solidFill>
                    <w14:schemeClr w14:val="tx1"/>
                  </w14:solidFill>
                </w14:textFill>
              </w:rPr>
              <w:t>年</w:t>
            </w:r>
            <w:r>
              <w:rPr>
                <w:rFonts w:hint="eastAsia" w:ascii="楷体_GB2312" w:hAnsi="楷体_GB2312" w:eastAsia="楷体_GB2312" w:cs="楷体_GB2312"/>
                <w:color w:val="000000" w:themeColor="text1"/>
                <w:sz w:val="28"/>
                <w:szCs w:val="28"/>
                <w:highlight w:val="none"/>
                <w:lang w:val="en-US" w:eastAsia="zh-CN"/>
                <w14:textFill>
                  <w14:solidFill>
                    <w14:schemeClr w14:val="tx1"/>
                  </w14:solidFill>
                </w14:textFill>
              </w:rPr>
              <w:t xml:space="preserve">  </w:t>
            </w:r>
            <w:r>
              <w:rPr>
                <w:rFonts w:hint="eastAsia" w:ascii="楷体_GB2312" w:hAnsi="楷体_GB2312" w:eastAsia="楷体_GB2312" w:cs="楷体_GB2312"/>
                <w:color w:val="000000" w:themeColor="text1"/>
                <w:sz w:val="28"/>
                <w:szCs w:val="28"/>
                <w:highlight w:val="none"/>
                <w14:textFill>
                  <w14:solidFill>
                    <w14:schemeClr w14:val="tx1"/>
                  </w14:solidFill>
                </w14:textFill>
              </w:rPr>
              <w:t>月</w:t>
            </w:r>
            <w:r>
              <w:rPr>
                <w:rFonts w:hint="eastAsia" w:ascii="楷体_GB2312" w:hAnsi="楷体_GB2312" w:eastAsia="楷体_GB2312" w:cs="楷体_GB2312"/>
                <w:color w:val="000000" w:themeColor="text1"/>
                <w:sz w:val="28"/>
                <w:szCs w:val="28"/>
                <w:highlight w:val="none"/>
                <w:lang w:val="en-US" w:eastAsia="zh-CN"/>
                <w14:textFill>
                  <w14:solidFill>
                    <w14:schemeClr w14:val="tx1"/>
                  </w14:solidFill>
                </w14:textFill>
              </w:rPr>
              <w:t xml:space="preserve">  </w:t>
            </w:r>
            <w:r>
              <w:rPr>
                <w:rFonts w:hint="eastAsia" w:ascii="楷体_GB2312" w:hAnsi="楷体_GB2312" w:eastAsia="楷体_GB2312" w:cs="楷体_GB2312"/>
                <w:color w:val="000000" w:themeColor="text1"/>
                <w:sz w:val="28"/>
                <w:szCs w:val="28"/>
                <w:highlight w:val="none"/>
                <w14:textFill>
                  <w14:solidFill>
                    <w14:schemeClr w14:val="tx1"/>
                  </w14:solidFill>
                </w14:textFill>
              </w:rPr>
              <w:t>日</w:t>
            </w:r>
          </w:p>
          <w:p w14:paraId="2CE67AFA">
            <w:pPr>
              <w:keepNext w:val="0"/>
              <w:keepLines w:val="0"/>
              <w:pageBreakBefore w:val="0"/>
              <w:widowControl w:val="0"/>
              <w:kinsoku/>
              <w:wordWrap/>
              <w:overflowPunct/>
              <w:topLinePunct w:val="0"/>
              <w:autoSpaceDE/>
              <w:autoSpaceDN/>
              <w:bidi w:val="0"/>
              <w:adjustRightInd/>
              <w:snapToGrid/>
              <w:spacing w:line="400" w:lineRule="exact"/>
              <w:ind w:right="0" w:rightChars="0"/>
              <w:textAlignment w:val="auto"/>
              <w:outlineLvl w:val="9"/>
              <w:rPr>
                <w:rFonts w:hint="eastAsia" w:ascii="楷体_GB2312" w:hAnsi="楷体_GB2312" w:eastAsia="楷体_GB2312" w:cs="楷体_GB2312"/>
                <w:color w:val="000000" w:themeColor="text1"/>
                <w:sz w:val="28"/>
                <w:szCs w:val="28"/>
                <w:highlight w:val="none"/>
                <w:lang w:eastAsia="zh-CN"/>
                <w14:textFill>
                  <w14:solidFill>
                    <w14:schemeClr w14:val="tx1"/>
                  </w14:solidFill>
                </w14:textFill>
              </w:rPr>
            </w:pPr>
          </w:p>
        </w:tc>
      </w:tr>
      <w:tr w14:paraId="009E6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l2br w:val="nil"/>
              <w:tr2bl w:val="nil"/>
            </w:tcBorders>
            <w:vAlign w:val="top"/>
          </w:tcPr>
          <w:p w14:paraId="402E712F">
            <w:pPr>
              <w:keepNext w:val="0"/>
              <w:keepLines w:val="0"/>
              <w:pageBreakBefore w:val="0"/>
              <w:widowControl w:val="0"/>
              <w:kinsoku/>
              <w:wordWrap/>
              <w:overflowPunct/>
              <w:topLinePunct w:val="0"/>
              <w:autoSpaceDE/>
              <w:autoSpaceDN/>
              <w:bidi w:val="0"/>
              <w:adjustRightInd/>
              <w:snapToGrid/>
              <w:spacing w:line="540" w:lineRule="exact"/>
              <w:ind w:right="0" w:rightChars="0"/>
              <w:textAlignment w:val="auto"/>
              <w:outlineLvl w:val="9"/>
              <w:rPr>
                <w:rFonts w:hint="eastAsia" w:ascii="楷体_GB2312" w:hAnsi="楷体_GB2312" w:eastAsia="楷体_GB2312" w:cs="楷体_GB2312"/>
                <w:color w:val="000000" w:themeColor="text1"/>
                <w:sz w:val="28"/>
                <w:szCs w:val="28"/>
                <w:highlight w:val="none"/>
                <w:lang w:val="en-US" w:eastAsia="zh-CN"/>
                <w14:textFill>
                  <w14:solidFill>
                    <w14:schemeClr w14:val="tx1"/>
                  </w14:solidFill>
                </w14:textFill>
              </w:rPr>
            </w:pPr>
            <w:r>
              <w:rPr>
                <w:rFonts w:hint="eastAsia" w:ascii="楷体_GB2312" w:hAnsi="楷体_GB2312" w:eastAsia="楷体_GB2312" w:cs="楷体_GB2312"/>
                <w:color w:val="000000" w:themeColor="text1"/>
                <w:sz w:val="28"/>
                <w:szCs w:val="28"/>
                <w:highlight w:val="none"/>
                <w:lang w:val="en-US" w:eastAsia="zh-CN"/>
                <w14:textFill>
                  <w14:solidFill>
                    <w14:schemeClr w14:val="tx1"/>
                  </w14:solidFill>
                </w14:textFill>
              </w:rPr>
              <w:t>丙方签字：</w:t>
            </w:r>
          </w:p>
          <w:p w14:paraId="3D77F68B">
            <w:pPr>
              <w:keepNext w:val="0"/>
              <w:keepLines w:val="0"/>
              <w:pageBreakBefore w:val="0"/>
              <w:kinsoku/>
              <w:wordWrap/>
              <w:overflowPunct/>
              <w:topLinePunct w:val="0"/>
              <w:autoSpaceDE/>
              <w:autoSpaceDN/>
              <w:bidi w:val="0"/>
              <w:adjustRightInd/>
              <w:snapToGrid/>
              <w:spacing w:line="540" w:lineRule="exact"/>
              <w:ind w:firstLine="840" w:firstLineChars="300"/>
              <w:textAlignment w:val="auto"/>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楷体_GB2312" w:hAnsi="楷体_GB2312" w:eastAsia="楷体_GB2312" w:cs="楷体_GB2312"/>
                <w:color w:val="000000" w:themeColor="text1"/>
                <w:sz w:val="28"/>
                <w:szCs w:val="28"/>
                <w:highlight w:val="none"/>
                <w:lang w:val="en-US" w:eastAsia="zh-CN"/>
                <w14:textFill>
                  <w14:solidFill>
                    <w14:schemeClr w14:val="tx1"/>
                  </w14:solidFill>
                </w14:textFill>
              </w:rPr>
              <w:t>联系地</w:t>
            </w:r>
            <w:r>
              <w:rPr>
                <w:rFonts w:hint="eastAsia" w:ascii="楷体_GB2312" w:hAnsi="楷体_GB2312" w:eastAsia="楷体_GB2312" w:cs="楷体_GB2312"/>
                <w:color w:val="000000" w:themeColor="text1"/>
                <w:sz w:val="28"/>
                <w:szCs w:val="28"/>
                <w:highlight w:val="none"/>
                <w14:textFill>
                  <w14:solidFill>
                    <w14:schemeClr w14:val="tx1"/>
                  </w14:solidFill>
                </w14:textFill>
              </w:rPr>
              <w:t>址：</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 xml:space="preserve">                       </w:t>
            </w:r>
          </w:p>
          <w:p w14:paraId="6D2911EC">
            <w:pPr>
              <w:keepNext w:val="0"/>
              <w:keepLines w:val="0"/>
              <w:pageBreakBefore w:val="0"/>
              <w:kinsoku/>
              <w:wordWrap/>
              <w:overflowPunct/>
              <w:topLinePunct w:val="0"/>
              <w:autoSpaceDE/>
              <w:autoSpaceDN/>
              <w:bidi w:val="0"/>
              <w:adjustRightInd/>
              <w:snapToGrid/>
              <w:spacing w:line="540" w:lineRule="exact"/>
              <w:ind w:firstLine="840" w:firstLineChars="300"/>
              <w:textAlignment w:val="auto"/>
              <w:rPr>
                <w:rFonts w:hint="eastAsia" w:ascii="楷体_GB2312" w:hAnsi="楷体_GB2312" w:eastAsia="楷体_GB2312" w:cs="楷体_GB2312"/>
                <w:color w:val="000000" w:themeColor="text1"/>
                <w:sz w:val="28"/>
                <w:szCs w:val="28"/>
                <w:highlight w:val="none"/>
                <w:lang w:val="en-US" w:eastAsia="zh-CN"/>
                <w14:textFill>
                  <w14:solidFill>
                    <w14:schemeClr w14:val="tx1"/>
                  </w14:solidFill>
                </w14:textFill>
              </w:rPr>
            </w:pPr>
            <w:r>
              <w:rPr>
                <w:rFonts w:hint="eastAsia" w:ascii="楷体_GB2312" w:hAnsi="楷体_GB2312" w:eastAsia="楷体_GB2312" w:cs="楷体_GB2312"/>
                <w:color w:val="000000" w:themeColor="text1"/>
                <w:sz w:val="28"/>
                <w:szCs w:val="28"/>
                <w:highlight w:val="none"/>
                <w:lang w:val="en-US" w:eastAsia="zh-CN"/>
                <w14:textFill>
                  <w14:solidFill>
                    <w14:schemeClr w14:val="tx1"/>
                  </w14:solidFill>
                </w14:textFill>
              </w:rPr>
              <w:t>联系电话：</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 xml:space="preserve">                       </w:t>
            </w:r>
          </w:p>
          <w:p w14:paraId="0A47F1D3">
            <w:pPr>
              <w:keepNext w:val="0"/>
              <w:keepLines w:val="0"/>
              <w:pageBreakBefore w:val="0"/>
              <w:widowControl w:val="0"/>
              <w:kinsoku/>
              <w:wordWrap/>
              <w:overflowPunct/>
              <w:topLinePunct w:val="0"/>
              <w:autoSpaceDE/>
              <w:autoSpaceDN/>
              <w:bidi w:val="0"/>
              <w:adjustRightInd/>
              <w:snapToGrid/>
              <w:spacing w:line="540" w:lineRule="exact"/>
              <w:ind w:right="0" w:rightChars="0"/>
              <w:textAlignment w:val="auto"/>
              <w:outlineLvl w:val="9"/>
              <w:rPr>
                <w:rFonts w:hint="eastAsia" w:ascii="楷体_GB2312" w:hAnsi="楷体_GB2312" w:eastAsia="楷体_GB2312" w:cs="楷体_GB2312"/>
                <w:color w:val="000000" w:themeColor="text1"/>
                <w:sz w:val="28"/>
                <w:szCs w:val="28"/>
                <w:highlight w:val="none"/>
                <w:lang w:eastAsia="zh-CN"/>
                <w14:textFill>
                  <w14:solidFill>
                    <w14:schemeClr w14:val="tx1"/>
                  </w14:solidFill>
                </w14:textFill>
              </w:rPr>
            </w:pPr>
            <w:r>
              <w:rPr>
                <w:rFonts w:hint="eastAsia" w:ascii="楷体_GB2312" w:hAnsi="楷体_GB2312" w:eastAsia="楷体_GB2312" w:cs="楷体_GB2312"/>
                <w:color w:val="000000" w:themeColor="text1"/>
                <w:sz w:val="28"/>
                <w:szCs w:val="28"/>
                <w:highlight w:val="none"/>
                <w:lang w:val="en-US" w:eastAsia="zh-CN"/>
                <w14:textFill>
                  <w14:solidFill>
                    <w14:schemeClr w14:val="tx1"/>
                  </w14:solidFill>
                </w14:textFill>
              </w:rPr>
              <w:t xml:space="preserve">          </w:t>
            </w:r>
            <w:r>
              <w:rPr>
                <w:rFonts w:hint="eastAsia" w:ascii="楷体_GB2312" w:hAnsi="楷体_GB2312" w:eastAsia="楷体_GB2312" w:cs="楷体_GB2312"/>
                <w:color w:val="000000" w:themeColor="text1"/>
                <w:sz w:val="28"/>
                <w:szCs w:val="28"/>
                <w:highlight w:val="none"/>
                <w14:textFill>
                  <w14:solidFill>
                    <w14:schemeClr w14:val="tx1"/>
                  </w14:solidFill>
                </w14:textFill>
              </w:rPr>
              <w:t>年</w:t>
            </w:r>
            <w:r>
              <w:rPr>
                <w:rFonts w:hint="eastAsia" w:ascii="楷体_GB2312" w:hAnsi="楷体_GB2312" w:eastAsia="楷体_GB2312" w:cs="楷体_GB2312"/>
                <w:color w:val="000000" w:themeColor="text1"/>
                <w:sz w:val="28"/>
                <w:szCs w:val="28"/>
                <w:highlight w:val="none"/>
                <w:lang w:val="en-US" w:eastAsia="zh-CN"/>
                <w14:textFill>
                  <w14:solidFill>
                    <w14:schemeClr w14:val="tx1"/>
                  </w14:solidFill>
                </w14:textFill>
              </w:rPr>
              <w:t xml:space="preserve">  </w:t>
            </w:r>
            <w:r>
              <w:rPr>
                <w:rFonts w:hint="eastAsia" w:ascii="楷体_GB2312" w:hAnsi="楷体_GB2312" w:eastAsia="楷体_GB2312" w:cs="楷体_GB2312"/>
                <w:color w:val="000000" w:themeColor="text1"/>
                <w:sz w:val="28"/>
                <w:szCs w:val="28"/>
                <w:highlight w:val="none"/>
                <w14:textFill>
                  <w14:solidFill>
                    <w14:schemeClr w14:val="tx1"/>
                  </w14:solidFill>
                </w14:textFill>
              </w:rPr>
              <w:t>月</w:t>
            </w:r>
            <w:r>
              <w:rPr>
                <w:rFonts w:hint="eastAsia" w:ascii="楷体_GB2312" w:hAnsi="楷体_GB2312" w:eastAsia="楷体_GB2312" w:cs="楷体_GB2312"/>
                <w:color w:val="000000" w:themeColor="text1"/>
                <w:sz w:val="28"/>
                <w:szCs w:val="28"/>
                <w:highlight w:val="none"/>
                <w:lang w:val="en-US" w:eastAsia="zh-CN"/>
                <w14:textFill>
                  <w14:solidFill>
                    <w14:schemeClr w14:val="tx1"/>
                  </w14:solidFill>
                </w14:textFill>
              </w:rPr>
              <w:t xml:space="preserve">  </w:t>
            </w:r>
            <w:r>
              <w:rPr>
                <w:rFonts w:hint="eastAsia" w:ascii="楷体_GB2312" w:hAnsi="楷体_GB2312" w:eastAsia="楷体_GB2312" w:cs="楷体_GB2312"/>
                <w:color w:val="000000" w:themeColor="text1"/>
                <w:sz w:val="28"/>
                <w:szCs w:val="28"/>
                <w:highlight w:val="none"/>
                <w14:textFill>
                  <w14:solidFill>
                    <w14:schemeClr w14:val="tx1"/>
                  </w14:solidFill>
                </w14:textFill>
              </w:rPr>
              <w:t>日</w:t>
            </w:r>
          </w:p>
        </w:tc>
      </w:tr>
    </w:tbl>
    <w:p w14:paraId="7F2245C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pPr>
    </w:p>
    <w:sectPr>
      <w:footerReference r:id="rId3" w:type="default"/>
      <w:pgSz w:w="11906" w:h="16838"/>
      <w:pgMar w:top="2098" w:right="1417" w:bottom="198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FAF4250-B896-4CD0-BBB8-7DFEE46509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23E7CD8E-0585-49B8-A899-07C661855000}"/>
  </w:font>
  <w:font w:name="楷体_GB2312">
    <w:altName w:val="楷体"/>
    <w:panose1 w:val="02010609030101010101"/>
    <w:charset w:val="86"/>
    <w:family w:val="auto"/>
    <w:pitch w:val="default"/>
    <w:sig w:usb0="00000000" w:usb1="00000000" w:usb2="00000000" w:usb3="00000000" w:csb0="00040000" w:csb1="00000000"/>
    <w:embedRegular r:id="rId3" w:fontKey="{A5A76750-251A-4EB4-8528-2145C3281AF2}"/>
  </w:font>
  <w:font w:name="方正仿宋_GBK">
    <w:panose1 w:val="03000509000000000000"/>
    <w:charset w:val="86"/>
    <w:family w:val="auto"/>
    <w:pitch w:val="default"/>
    <w:sig w:usb0="00000001" w:usb1="080E0000" w:usb2="00000000" w:usb3="00000000" w:csb0="00040000" w:csb1="00000000"/>
    <w:embedRegular r:id="rId4" w:fontKey="{EA69486E-1BC5-4CC6-AB93-2DEA4307BA61}"/>
  </w:font>
  <w:font w:name="仿宋_GB2312">
    <w:altName w:val="仿宋"/>
    <w:panose1 w:val="02010609030101010101"/>
    <w:charset w:val="86"/>
    <w:family w:val="modern"/>
    <w:pitch w:val="default"/>
    <w:sig w:usb0="00000000" w:usb1="00000000" w:usb2="00000000" w:usb3="00000000" w:csb0="00040000" w:csb1="00000000"/>
    <w:embedRegular r:id="rId5" w:fontKey="{B5076DC8-1AAB-4323-89A1-547C688E07F1}"/>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199E4">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CA8FB">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D9CA8FB">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790198">
                          <w:pPr>
                            <w:snapToGrid w:val="0"/>
                            <w:rPr>
                              <w:rFonts w:hint="eastAsia" w:eastAsiaTheme="minorEastAsia"/>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790198">
                    <w:pPr>
                      <w:snapToGrid w:val="0"/>
                      <w:rPr>
                        <w:rFonts w:hint="eastAsia" w:eastAsiaTheme="minorEastAsia"/>
                        <w:sz w:val="18"/>
                        <w:lang w:eastAsia="zh-C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F76DE"/>
    <w:rsid w:val="01BA7BDE"/>
    <w:rsid w:val="03E35437"/>
    <w:rsid w:val="062320B1"/>
    <w:rsid w:val="07E27C92"/>
    <w:rsid w:val="07EA1314"/>
    <w:rsid w:val="089B1C79"/>
    <w:rsid w:val="08A00010"/>
    <w:rsid w:val="0F59599D"/>
    <w:rsid w:val="1007646F"/>
    <w:rsid w:val="10BD322F"/>
    <w:rsid w:val="11C60997"/>
    <w:rsid w:val="12FB7503"/>
    <w:rsid w:val="13EA7AD5"/>
    <w:rsid w:val="14F17FE8"/>
    <w:rsid w:val="157F6C0F"/>
    <w:rsid w:val="169E1BAD"/>
    <w:rsid w:val="1BB93F6E"/>
    <w:rsid w:val="1BFA625F"/>
    <w:rsid w:val="1D317583"/>
    <w:rsid w:val="1EC13D77"/>
    <w:rsid w:val="1FFA4301"/>
    <w:rsid w:val="209A0509"/>
    <w:rsid w:val="20F40D3E"/>
    <w:rsid w:val="21081F93"/>
    <w:rsid w:val="28565731"/>
    <w:rsid w:val="293161C0"/>
    <w:rsid w:val="2A524755"/>
    <w:rsid w:val="2AFC5402"/>
    <w:rsid w:val="2BB641F4"/>
    <w:rsid w:val="2F3455DA"/>
    <w:rsid w:val="2F486852"/>
    <w:rsid w:val="3077048F"/>
    <w:rsid w:val="31167D77"/>
    <w:rsid w:val="32A06471"/>
    <w:rsid w:val="34113F53"/>
    <w:rsid w:val="370514C2"/>
    <w:rsid w:val="37A57871"/>
    <w:rsid w:val="386F31AC"/>
    <w:rsid w:val="39D33908"/>
    <w:rsid w:val="39D543DA"/>
    <w:rsid w:val="39E75C04"/>
    <w:rsid w:val="3A483257"/>
    <w:rsid w:val="3AFF2EA2"/>
    <w:rsid w:val="3D682CE6"/>
    <w:rsid w:val="3FE527CA"/>
    <w:rsid w:val="400E78B3"/>
    <w:rsid w:val="40202501"/>
    <w:rsid w:val="40364C89"/>
    <w:rsid w:val="40572CAB"/>
    <w:rsid w:val="405C5872"/>
    <w:rsid w:val="406A25D7"/>
    <w:rsid w:val="40A6245E"/>
    <w:rsid w:val="41613DC5"/>
    <w:rsid w:val="445348B2"/>
    <w:rsid w:val="46701F37"/>
    <w:rsid w:val="481A70B5"/>
    <w:rsid w:val="490F4BC6"/>
    <w:rsid w:val="4BA83AEA"/>
    <w:rsid w:val="4C102DD5"/>
    <w:rsid w:val="4CC748AA"/>
    <w:rsid w:val="4D786316"/>
    <w:rsid w:val="4FEA7C45"/>
    <w:rsid w:val="5042664A"/>
    <w:rsid w:val="50494ED2"/>
    <w:rsid w:val="51E0097D"/>
    <w:rsid w:val="53C7003F"/>
    <w:rsid w:val="545D2675"/>
    <w:rsid w:val="55094DA0"/>
    <w:rsid w:val="557229CB"/>
    <w:rsid w:val="579F165D"/>
    <w:rsid w:val="5A5A7148"/>
    <w:rsid w:val="5A6C28E5"/>
    <w:rsid w:val="5C6311E6"/>
    <w:rsid w:val="5EB368C6"/>
    <w:rsid w:val="5F544A55"/>
    <w:rsid w:val="61916677"/>
    <w:rsid w:val="636611A7"/>
    <w:rsid w:val="63C82546"/>
    <w:rsid w:val="652D583B"/>
    <w:rsid w:val="658442AB"/>
    <w:rsid w:val="66AF2FBC"/>
    <w:rsid w:val="672178A4"/>
    <w:rsid w:val="67B06F06"/>
    <w:rsid w:val="6847349E"/>
    <w:rsid w:val="692118DF"/>
    <w:rsid w:val="69B24BA0"/>
    <w:rsid w:val="6A0C0251"/>
    <w:rsid w:val="6AB87AE1"/>
    <w:rsid w:val="6B4E658E"/>
    <w:rsid w:val="6C8E5823"/>
    <w:rsid w:val="6F2B261F"/>
    <w:rsid w:val="715E74B8"/>
    <w:rsid w:val="730155FF"/>
    <w:rsid w:val="735F7D2C"/>
    <w:rsid w:val="74761508"/>
    <w:rsid w:val="75760578"/>
    <w:rsid w:val="77C75BCC"/>
    <w:rsid w:val="7ADB42F4"/>
    <w:rsid w:val="7B28536E"/>
    <w:rsid w:val="7F3B2E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2128</Words>
  <Characters>2153</Characters>
  <Lines>0</Lines>
  <Paragraphs>0</Paragraphs>
  <TotalTime>0</TotalTime>
  <ScaleCrop>false</ScaleCrop>
  <LinksUpToDate>false</LinksUpToDate>
  <CharactersWithSpaces>2308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jytww061</dc:creator>
  <cp:lastModifiedBy>朱金霞</cp:lastModifiedBy>
  <cp:lastPrinted>2025-04-07T03:34:00Z</cp:lastPrinted>
  <dcterms:modified xsi:type="dcterms:W3CDTF">2026-04-15T07:48:00Z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eyJoZGlkIjoiMDU5YzY4MjNiOTUyODQ1NjVlMTE3NDA0YmU0YjdhMmEiLCJ1c2VySWQiOiIxNTEyNzczMjU3In0=</vt:lpwstr>
  </property>
  <property fmtid="{D5CDD505-2E9C-101B-9397-08002B2CF9AE}" pid="4" name="ICV">
    <vt:lpwstr>B11EB66BCD52434ABB85C9402091C0EB_13</vt:lpwstr>
  </property>
</Properties>
</file>